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700KW</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电加热导热油炉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700KW</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电加热导热油炉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Fonts w:ascii="宋体" w:hAnsi="宋体" w:eastAsia="宋体" w:cs="Times New Roman"/>
          <w:kern w:val="2"/>
          <w:sz w:val="21"/>
          <w:szCs w:val="24"/>
          <w:lang w:val="en-US" w:eastAsia="zh-CN" w:bidi="ar-SA"/>
        </w:rPr>
        <w:id w:val="147456524"/>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Style w:val="21"/>
              <w:sz w:val="52"/>
              <w:szCs w:val="32"/>
            </w:rPr>
          </w:pPr>
          <w:r>
            <w:rPr>
              <w:rStyle w:val="21"/>
              <w:sz w:val="52"/>
              <w:szCs w:val="32"/>
            </w:rPr>
            <w:t>目录</w:t>
          </w:r>
        </w:p>
        <w:p>
          <w:pPr>
            <w:pStyle w:val="18"/>
            <w:tabs>
              <w:tab w:val="right" w:leader="dot" w:pos="9746"/>
            </w:tabs>
            <w:spacing w:line="360" w:lineRule="auto"/>
            <w:rPr>
              <w:rFonts w:hint="eastAsia" w:ascii="宋体" w:hAnsi="宋体" w:eastAsia="宋体" w:cs="宋体"/>
              <w:b/>
              <w:bCs w:val="0"/>
              <w:sz w:val="24"/>
              <w:szCs w:val="24"/>
            </w:rPr>
          </w:pPr>
          <w:r>
            <w:fldChar w:fldCharType="begin"/>
          </w:r>
          <w:r>
            <w:instrText xml:space="preserve">TOC \o "1-2" \h \u </w:instrText>
          </w:r>
          <w:r>
            <w:fldChar w:fldCharType="separate"/>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一、配质清单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_Toc21572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二、技术参数：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_Toc21572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_Toc24869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三、公司简介：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_Toc24869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_Toc19257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四、公司资质与产品展示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_Toc19257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_Toc24393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五、 设备简介及特点</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_Toc24393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_Toc24291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一、概述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_Toc24291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_Toc21672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二、产品特性及规格</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_Toc21672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_Toc24013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三、结构特性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_Toc24013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_Toc27251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四、 管子流速的确定</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_Toc27251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_Toc21999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五</w:t>
          </w:r>
          <w:r>
            <w:rPr>
              <w:rFonts w:hint="eastAsia" w:ascii="宋体" w:hAnsi="宋体" w:eastAsia="宋体" w:cs="宋体"/>
              <w:b/>
              <w:bCs w:val="0"/>
              <w:sz w:val="24"/>
              <w:szCs w:val="24"/>
            </w:rPr>
            <w:t>、应用范围</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_Toc21999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_Toc549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六、工艺流程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_Toc549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_Toc2224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七</w:t>
          </w:r>
          <w:r>
            <w:rPr>
              <w:rFonts w:hint="eastAsia" w:ascii="宋体" w:hAnsi="宋体" w:eastAsia="宋体" w:cs="宋体"/>
              <w:b/>
              <w:bCs w:val="0"/>
              <w:sz w:val="24"/>
              <w:szCs w:val="24"/>
            </w:rPr>
            <w:t>、安全控制</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_Toc2224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_Toc3580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八</w:t>
          </w:r>
          <w:r>
            <w:rPr>
              <w:rFonts w:hint="eastAsia" w:ascii="宋体" w:hAnsi="宋体" w:eastAsia="宋体" w:cs="宋体"/>
              <w:b/>
              <w:bCs w:val="0"/>
              <w:sz w:val="24"/>
              <w:szCs w:val="24"/>
            </w:rPr>
            <w:t>、主要设计依据</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_Toc3580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_Toc17409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六、客户来访</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_Toc17409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_Toc24098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七、设备支持</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_Toc24098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_Toc29023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八、安全、质量保证措施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_Toc29023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1、安全保证措施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_Toc29108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2、质量保证措施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_Toc29108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_Toc31775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九、售后服务承诺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_Toc31775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_Toc21871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1、服务体系</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_Toc21871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2、售前服务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_Toc14936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3、售后服务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_Toc14936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_Toc24693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4、规范化的服务标准</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_Toc24693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_Toc9436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5、星级服务1、2、3、4模式</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_Toc9436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6、技术服务与联络</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_Toc6379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7、组织保证</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_Toc6379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_Toc10628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十、厂区环境</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_Toc10628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b/>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_Toc5791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十一、公司寄语</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_Toc5791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r>
            <w:rPr>
              <w:b/>
            </w:rPr>
            <w:fldChar w:fldCharType="end"/>
          </w:r>
        </w:p>
      </w:sdtContent>
    </w:sdt>
    <w:p>
      <w:pPr>
        <w:spacing w:line="520" w:lineRule="exact"/>
        <w:jc w:val="left"/>
        <w:outlineLvl w:val="0"/>
        <w:rPr>
          <w:rFonts w:ascii="Arial" w:hAnsi="Arial" w:eastAsia="黑体"/>
          <w:b/>
          <w:sz w:val="32"/>
        </w:rPr>
      </w:pPr>
      <w:bookmarkStart w:id="0" w:name="_Toc27436"/>
      <w:r>
        <w:rPr>
          <w:rFonts w:hint="eastAsia" w:ascii="Arial" w:hAnsi="Arial" w:eastAsia="黑体"/>
          <w:b/>
          <w:sz w:val="32"/>
        </w:rPr>
        <w:t>一、配质清单</w:t>
      </w:r>
      <w:bookmarkEnd w:id="0"/>
    </w:p>
    <w:p>
      <w:pPr>
        <w:spacing w:line="520" w:lineRule="exact"/>
        <w:jc w:val="center"/>
        <w:rPr>
          <w:rFonts w:ascii="宋体" w:hAnsi="宋体"/>
          <w:sz w:val="24"/>
        </w:rPr>
      </w:pPr>
      <w:bookmarkStart w:id="1" w:name="_Toc18567"/>
      <w:r>
        <w:rPr>
          <w:rFonts w:hint="eastAsia" w:ascii="宋体" w:hAnsi="宋体"/>
          <w:b/>
          <w:bCs/>
          <w:sz w:val="40"/>
          <w:szCs w:val="40"/>
          <w:lang w:val="en-US" w:eastAsia="zh-CN"/>
        </w:rPr>
        <w:t>YDW-700KW-D</w:t>
      </w:r>
      <w:r>
        <w:rPr>
          <w:rFonts w:hint="eastAsia" w:ascii="宋体" w:hAnsi="宋体"/>
          <w:b/>
          <w:bCs/>
          <w:sz w:val="40"/>
          <w:szCs w:val="40"/>
        </w:rPr>
        <w:t>有机热载体炉产品</w:t>
      </w:r>
      <w:r>
        <w:rPr>
          <w:rFonts w:hint="eastAsia" w:ascii="宋体" w:hAnsi="宋体"/>
          <w:b/>
          <w:bCs/>
          <w:sz w:val="40"/>
          <w:szCs w:val="40"/>
          <w:lang w:val="en-US" w:eastAsia="zh-CN"/>
        </w:rPr>
        <w:t>配置</w:t>
      </w:r>
      <w:r>
        <w:rPr>
          <w:rFonts w:hint="eastAsia" w:ascii="宋体" w:hAnsi="宋体"/>
          <w:b/>
          <w:bCs/>
          <w:sz w:val="40"/>
          <w:szCs w:val="40"/>
        </w:rPr>
        <w:t>清单</w:t>
      </w:r>
    </w:p>
    <w:tbl>
      <w:tblPr>
        <w:tblStyle w:val="12"/>
        <w:tblW w:w="10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90"/>
        <w:gridCol w:w="3071"/>
        <w:gridCol w:w="802"/>
        <w:gridCol w:w="783"/>
        <w:gridCol w:w="1534"/>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序号</w:t>
            </w:r>
          </w:p>
        </w:tc>
        <w:tc>
          <w:tcPr>
            <w:tcW w:w="2090" w:type="dxa"/>
            <w:vAlign w:val="center"/>
          </w:tcPr>
          <w:p>
            <w:pPr>
              <w:jc w:val="center"/>
              <w:rPr>
                <w:rFonts w:ascii="宋体" w:hAnsi="宋体"/>
                <w:b/>
                <w:bCs/>
                <w:sz w:val="22"/>
                <w:szCs w:val="22"/>
              </w:rPr>
            </w:pPr>
            <w:r>
              <w:rPr>
                <w:rFonts w:hint="eastAsia" w:ascii="宋体" w:hAnsi="宋体"/>
                <w:b/>
                <w:bCs/>
                <w:sz w:val="22"/>
                <w:szCs w:val="22"/>
              </w:rPr>
              <w:t>产品名称</w:t>
            </w:r>
          </w:p>
        </w:tc>
        <w:tc>
          <w:tcPr>
            <w:tcW w:w="3071" w:type="dxa"/>
            <w:vAlign w:val="center"/>
          </w:tcPr>
          <w:p>
            <w:pPr>
              <w:spacing w:line="300" w:lineRule="exact"/>
              <w:jc w:val="center"/>
              <w:rPr>
                <w:rFonts w:ascii="宋体" w:hAnsi="宋体"/>
                <w:b/>
                <w:bCs/>
                <w:sz w:val="22"/>
                <w:szCs w:val="22"/>
              </w:rPr>
            </w:pPr>
            <w:r>
              <w:rPr>
                <w:rFonts w:hint="eastAsia" w:ascii="宋体" w:hAnsi="宋体"/>
                <w:b/>
                <w:bCs/>
                <w:sz w:val="22"/>
                <w:szCs w:val="22"/>
              </w:rPr>
              <w:t>产品型号/规格</w:t>
            </w:r>
          </w:p>
        </w:tc>
        <w:tc>
          <w:tcPr>
            <w:tcW w:w="802" w:type="dxa"/>
            <w:vAlign w:val="center"/>
          </w:tcPr>
          <w:p>
            <w:pPr>
              <w:jc w:val="center"/>
              <w:rPr>
                <w:rFonts w:ascii="宋体" w:hAnsi="宋体"/>
                <w:b/>
                <w:bCs/>
                <w:sz w:val="22"/>
                <w:szCs w:val="22"/>
              </w:rPr>
            </w:pPr>
            <w:r>
              <w:rPr>
                <w:rFonts w:hint="eastAsia" w:ascii="宋体" w:hAnsi="宋体"/>
                <w:b/>
                <w:bCs/>
                <w:sz w:val="22"/>
                <w:szCs w:val="22"/>
              </w:rPr>
              <w:t>单位</w:t>
            </w:r>
          </w:p>
        </w:tc>
        <w:tc>
          <w:tcPr>
            <w:tcW w:w="783" w:type="dxa"/>
            <w:vAlign w:val="center"/>
          </w:tcPr>
          <w:p>
            <w:pPr>
              <w:jc w:val="center"/>
              <w:rPr>
                <w:rFonts w:ascii="宋体" w:hAnsi="宋体"/>
                <w:b/>
                <w:bCs/>
                <w:sz w:val="22"/>
                <w:szCs w:val="22"/>
              </w:rPr>
            </w:pPr>
            <w:r>
              <w:rPr>
                <w:rFonts w:hint="eastAsia" w:ascii="宋体" w:hAnsi="宋体"/>
                <w:b/>
                <w:bCs/>
                <w:sz w:val="22"/>
                <w:szCs w:val="22"/>
              </w:rPr>
              <w:t>数量</w:t>
            </w:r>
          </w:p>
        </w:tc>
        <w:tc>
          <w:tcPr>
            <w:tcW w:w="1534" w:type="dxa"/>
            <w:vAlign w:val="center"/>
          </w:tcPr>
          <w:p>
            <w:pPr>
              <w:jc w:val="center"/>
              <w:rPr>
                <w:rFonts w:ascii="宋体" w:hAnsi="宋体"/>
                <w:b/>
                <w:bCs/>
                <w:sz w:val="22"/>
                <w:szCs w:val="22"/>
              </w:rPr>
            </w:pPr>
            <w:r>
              <w:rPr>
                <w:rFonts w:hint="eastAsia" w:ascii="宋体" w:hAnsi="宋体"/>
                <w:b/>
                <w:bCs/>
                <w:sz w:val="22"/>
                <w:szCs w:val="22"/>
              </w:rPr>
              <w:t>产地</w:t>
            </w:r>
            <w:r>
              <w:rPr>
                <w:rFonts w:hint="eastAsia" w:ascii="宋体" w:hAnsi="宋体" w:cs="宋体"/>
                <w:b/>
                <w:bCs/>
                <w:sz w:val="22"/>
                <w:szCs w:val="22"/>
              </w:rPr>
              <w:t>·</w:t>
            </w:r>
            <w:r>
              <w:rPr>
                <w:rFonts w:hint="eastAsia" w:ascii="宋体" w:hAnsi="宋体"/>
                <w:b/>
                <w:bCs/>
                <w:sz w:val="22"/>
                <w:szCs w:val="22"/>
              </w:rPr>
              <w:t>品牌</w:t>
            </w:r>
          </w:p>
        </w:tc>
        <w:tc>
          <w:tcPr>
            <w:tcW w:w="1519" w:type="dxa"/>
            <w:vAlign w:val="center"/>
          </w:tcPr>
          <w:p>
            <w:pPr>
              <w:jc w:val="center"/>
              <w:rPr>
                <w:rFonts w:ascii="宋体" w:hAnsi="宋体"/>
                <w:b/>
                <w:bCs/>
                <w:sz w:val="22"/>
                <w:szCs w:val="22"/>
              </w:rPr>
            </w:pPr>
            <w:r>
              <w:rPr>
                <w:rFonts w:hint="eastAsia" w:ascii="宋体" w:hAnsi="宋体"/>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一</w:t>
            </w:r>
          </w:p>
        </w:tc>
        <w:tc>
          <w:tcPr>
            <w:tcW w:w="8280" w:type="dxa"/>
            <w:gridSpan w:val="5"/>
            <w:vAlign w:val="center"/>
          </w:tcPr>
          <w:p>
            <w:pPr>
              <w:jc w:val="center"/>
              <w:rPr>
                <w:rFonts w:ascii="宋体" w:hAnsi="宋体"/>
                <w:sz w:val="22"/>
                <w:szCs w:val="22"/>
              </w:rPr>
            </w:pPr>
            <w:r>
              <w:rPr>
                <w:rFonts w:hint="eastAsia" w:ascii="宋体" w:hAnsi="宋体"/>
                <w:b/>
                <w:bCs/>
                <w:sz w:val="22"/>
                <w:szCs w:val="22"/>
              </w:rPr>
              <w:t>锅炉主机</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锅炉主机</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sz w:val="22"/>
                <w:szCs w:val="22"/>
              </w:rPr>
            </w:pPr>
            <w:r>
              <w:rPr>
                <w:rFonts w:hint="eastAsia" w:ascii="宋体" w:hAnsi="宋体"/>
                <w:sz w:val="22"/>
                <w:szCs w:val="22"/>
              </w:rPr>
              <w:t>河南恒信</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hint="eastAsia" w:ascii="宋体" w:hAnsi="宋体" w:eastAsia="宋体"/>
                <w:sz w:val="22"/>
                <w:szCs w:val="22"/>
                <w:lang w:eastAsia="zh-CN"/>
              </w:rPr>
            </w:pPr>
            <w:r>
              <w:rPr>
                <w:rFonts w:hint="eastAsia" w:ascii="宋体" w:hAnsi="宋体"/>
                <w:sz w:val="22"/>
                <w:szCs w:val="22"/>
                <w:highlight w:val="none"/>
                <w:lang w:eastAsia="zh-CN"/>
              </w:rPr>
              <w:t>电阻导热加热管</w:t>
            </w:r>
          </w:p>
        </w:tc>
        <w:tc>
          <w:tcPr>
            <w:tcW w:w="3071" w:type="dxa"/>
            <w:vAlign w:val="center"/>
          </w:tcPr>
          <w:p>
            <w:pPr>
              <w:spacing w:line="300" w:lineRule="exact"/>
              <w:jc w:val="center"/>
              <w:rPr>
                <w:rFonts w:hint="default" w:ascii="宋体" w:hAnsi="宋体" w:eastAsia="宋体"/>
                <w:sz w:val="22"/>
                <w:szCs w:val="22"/>
                <w:lang w:val="en-US" w:eastAsia="zh-CN"/>
              </w:rPr>
            </w:pPr>
            <w:r>
              <w:rPr>
                <w:rFonts w:hint="eastAsia" w:ascii="宋体" w:hAnsi="宋体"/>
                <w:sz w:val="22"/>
                <w:szCs w:val="22"/>
                <w:lang w:val="en-US" w:eastAsia="zh-CN"/>
              </w:rPr>
              <w:t>700KW</w:t>
            </w:r>
          </w:p>
        </w:tc>
        <w:tc>
          <w:tcPr>
            <w:tcW w:w="802" w:type="dxa"/>
            <w:vAlign w:val="center"/>
          </w:tcPr>
          <w:p>
            <w:pPr>
              <w:spacing w:line="300" w:lineRule="exact"/>
              <w:jc w:val="center"/>
              <w:rPr>
                <w:rFonts w:hint="eastAsia" w:ascii="宋体" w:hAnsi="宋体" w:eastAsia="宋体" w:cstheme="minorBidi"/>
                <w:sz w:val="22"/>
                <w:szCs w:val="22"/>
                <w:lang w:eastAsia="zh-CN"/>
              </w:rPr>
            </w:pPr>
            <w:r>
              <w:rPr>
                <w:rFonts w:hint="eastAsia" w:ascii="宋体" w:hAnsi="宋体"/>
                <w:sz w:val="22"/>
                <w:szCs w:val="22"/>
                <w:lang w:val="en-US" w:eastAsia="zh-CN"/>
              </w:rPr>
              <w:t>套</w:t>
            </w:r>
          </w:p>
        </w:tc>
        <w:tc>
          <w:tcPr>
            <w:tcW w:w="783" w:type="dxa"/>
            <w:vAlign w:val="center"/>
          </w:tcPr>
          <w:p>
            <w:pPr>
              <w:spacing w:line="300" w:lineRule="exact"/>
              <w:jc w:val="center"/>
              <w:rPr>
                <w:rFonts w:hint="eastAsia" w:ascii="宋体" w:hAnsi="宋体" w:eastAsia="宋体" w:cstheme="minorBidi"/>
                <w:sz w:val="22"/>
                <w:szCs w:val="22"/>
                <w:lang w:eastAsia="zh-CN"/>
              </w:rPr>
            </w:pPr>
            <w:r>
              <w:rPr>
                <w:rFonts w:hint="eastAsia" w:ascii="宋体" w:hAnsi="宋体"/>
                <w:sz w:val="22"/>
                <w:szCs w:val="22"/>
                <w:lang w:val="en-US" w:eastAsia="zh-CN"/>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hint="default" w:ascii="宋体" w:hAnsi="宋体" w:eastAsiaTheme="minorEastAsia"/>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二</w:t>
            </w:r>
          </w:p>
        </w:tc>
        <w:tc>
          <w:tcPr>
            <w:tcW w:w="8280" w:type="dxa"/>
            <w:gridSpan w:val="5"/>
            <w:vAlign w:val="center"/>
          </w:tcPr>
          <w:p>
            <w:pPr>
              <w:spacing w:line="300" w:lineRule="exact"/>
              <w:jc w:val="center"/>
              <w:rPr>
                <w:rFonts w:ascii="宋体" w:hAnsi="宋体" w:eastAsiaTheme="minorEastAsia"/>
                <w:sz w:val="22"/>
                <w:szCs w:val="22"/>
              </w:rPr>
            </w:pPr>
            <w:r>
              <w:rPr>
                <w:rFonts w:hint="eastAsia" w:ascii="宋体" w:hAnsi="宋体"/>
                <w:b/>
                <w:bCs/>
                <w:sz w:val="22"/>
                <w:szCs w:val="22"/>
              </w:rPr>
              <w:t>电器系统</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sz w:val="22"/>
                <w:szCs w:val="22"/>
              </w:rPr>
            </w:pPr>
            <w:r>
              <w:rPr>
                <w:rFonts w:hint="eastAsia" w:ascii="宋体" w:hAnsi="宋体"/>
                <w:sz w:val="22"/>
                <w:szCs w:val="22"/>
              </w:rPr>
              <w:t>控制系统</w:t>
            </w:r>
          </w:p>
        </w:tc>
        <w:tc>
          <w:tcPr>
            <w:tcW w:w="3071" w:type="dxa"/>
            <w:vAlign w:val="center"/>
          </w:tcPr>
          <w:p>
            <w:pPr>
              <w:jc w:val="center"/>
              <w:rPr>
                <w:rFonts w:hint="default" w:ascii="宋体" w:hAnsi="宋体" w:eastAsia="宋体"/>
                <w:sz w:val="22"/>
                <w:szCs w:val="22"/>
                <w:lang w:val="en-US" w:eastAsia="zh-CN"/>
              </w:rPr>
            </w:pPr>
            <w:r>
              <w:rPr>
                <w:rFonts w:hint="eastAsia" w:ascii="宋体" w:hAnsi="宋体"/>
                <w:sz w:val="22"/>
                <w:szCs w:val="22"/>
              </w:rPr>
              <w:t>HXDK-</w:t>
            </w:r>
            <w:r>
              <w:rPr>
                <w:rFonts w:hint="eastAsia" w:ascii="宋体" w:hAnsi="宋体"/>
                <w:sz w:val="22"/>
                <w:szCs w:val="22"/>
                <w:lang w:val="en-US" w:eastAsia="zh-CN"/>
              </w:rPr>
              <w:t>700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河南恒信</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热电隅</w:t>
            </w:r>
          </w:p>
        </w:tc>
        <w:tc>
          <w:tcPr>
            <w:tcW w:w="3071" w:type="dxa"/>
          </w:tcPr>
          <w:p>
            <w:pPr>
              <w:spacing w:line="300" w:lineRule="exact"/>
              <w:jc w:val="center"/>
              <w:rPr>
                <w:rFonts w:ascii="宋体" w:hAnsi="宋体"/>
                <w:sz w:val="22"/>
                <w:szCs w:val="22"/>
              </w:rPr>
            </w:pPr>
            <w:r>
              <w:rPr>
                <w:rFonts w:hint="eastAsia" w:ascii="宋体" w:hAnsi="宋体"/>
                <w:sz w:val="22"/>
                <w:szCs w:val="22"/>
              </w:rPr>
              <w:t>WRE（0-500℃）</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电接点压力表</w:t>
            </w:r>
          </w:p>
        </w:tc>
        <w:tc>
          <w:tcPr>
            <w:tcW w:w="3071" w:type="dxa"/>
          </w:tcPr>
          <w:p>
            <w:pPr>
              <w:spacing w:line="300" w:lineRule="exact"/>
              <w:jc w:val="center"/>
              <w:rPr>
                <w:rFonts w:ascii="宋体" w:hAnsi="宋体"/>
                <w:sz w:val="22"/>
                <w:szCs w:val="22"/>
              </w:rPr>
            </w:pPr>
            <w:r>
              <w:rPr>
                <w:rFonts w:hint="eastAsia" w:ascii="宋体" w:hAnsi="宋体"/>
                <w:sz w:val="22"/>
                <w:szCs w:val="22"/>
              </w:rPr>
              <w:t>Y-150（0-1.6MPa）</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双金属温度计</w:t>
            </w:r>
          </w:p>
        </w:tc>
        <w:tc>
          <w:tcPr>
            <w:tcW w:w="3071" w:type="dxa"/>
          </w:tcPr>
          <w:p>
            <w:pPr>
              <w:spacing w:line="300" w:lineRule="exact"/>
              <w:jc w:val="center"/>
              <w:rPr>
                <w:rFonts w:ascii="宋体" w:hAnsi="宋体"/>
                <w:sz w:val="22"/>
                <w:szCs w:val="22"/>
              </w:rPr>
            </w:pPr>
            <w:r>
              <w:rPr>
                <w:rFonts w:hint="eastAsia" w:ascii="宋体" w:hAnsi="宋体"/>
                <w:sz w:val="22"/>
                <w:szCs w:val="22"/>
              </w:rPr>
              <w:t>0~400℃</w:t>
            </w:r>
          </w:p>
        </w:tc>
        <w:tc>
          <w:tcPr>
            <w:tcW w:w="802" w:type="dxa"/>
          </w:tcPr>
          <w:p>
            <w:pPr>
              <w:spacing w:line="300" w:lineRule="exact"/>
              <w:jc w:val="center"/>
              <w:rPr>
                <w:rFonts w:ascii="宋体" w:hAnsi="宋体"/>
                <w:sz w:val="22"/>
                <w:szCs w:val="22"/>
              </w:rPr>
            </w:pPr>
            <w:r>
              <w:rPr>
                <w:rFonts w:hint="eastAsia" w:ascii="宋体" w:hAnsi="宋体"/>
                <w:sz w:val="22"/>
                <w:szCs w:val="22"/>
              </w:rPr>
              <w:t>块</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压力表弯</w:t>
            </w:r>
          </w:p>
        </w:tc>
        <w:tc>
          <w:tcPr>
            <w:tcW w:w="3071" w:type="dxa"/>
          </w:tcPr>
          <w:p>
            <w:pPr>
              <w:spacing w:line="300" w:lineRule="exact"/>
              <w:jc w:val="center"/>
              <w:rPr>
                <w:rFonts w:ascii="宋体" w:hAnsi="宋体"/>
                <w:sz w:val="22"/>
                <w:szCs w:val="22"/>
              </w:rPr>
            </w:pPr>
            <w:r>
              <w:rPr>
                <w:rFonts w:hint="eastAsia" w:ascii="宋体" w:hAnsi="宋体"/>
                <w:sz w:val="22"/>
                <w:szCs w:val="22"/>
              </w:rPr>
              <w:t>厂标</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sz w:val="22"/>
                <w:szCs w:val="22"/>
                <w:lang w:val="en-US" w:eastAsia="zh-CN"/>
              </w:rPr>
              <w:t>河南郑州</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eastAsiaTheme="minorEastAsia" w:cstheme="minorBidi"/>
                <w:b/>
                <w:bCs/>
                <w:sz w:val="22"/>
                <w:szCs w:val="22"/>
              </w:rPr>
            </w:pPr>
            <w:r>
              <w:rPr>
                <w:rFonts w:hint="eastAsia" w:ascii="宋体" w:hAnsi="宋体"/>
                <w:b/>
                <w:bCs/>
                <w:sz w:val="22"/>
                <w:szCs w:val="22"/>
              </w:rPr>
              <w:t>四</w:t>
            </w:r>
          </w:p>
        </w:tc>
        <w:tc>
          <w:tcPr>
            <w:tcW w:w="8280" w:type="dxa"/>
            <w:gridSpan w:val="5"/>
            <w:vAlign w:val="center"/>
          </w:tcPr>
          <w:p>
            <w:pPr>
              <w:spacing w:line="300" w:lineRule="exact"/>
              <w:jc w:val="center"/>
              <w:rPr>
                <w:rFonts w:ascii="宋体" w:hAnsi="宋体" w:cstheme="minorBidi"/>
                <w:sz w:val="22"/>
                <w:szCs w:val="22"/>
              </w:rPr>
            </w:pPr>
            <w:r>
              <w:rPr>
                <w:rFonts w:hint="eastAsia" w:ascii="宋体" w:hAnsi="宋体"/>
                <w:b/>
                <w:bCs/>
                <w:sz w:val="22"/>
                <w:szCs w:val="22"/>
              </w:rPr>
              <w:t>油路系统-热源循环泵</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热油循环泵</w:t>
            </w:r>
          </w:p>
        </w:tc>
        <w:tc>
          <w:tcPr>
            <w:tcW w:w="3071" w:type="dxa"/>
            <w:vAlign w:val="top"/>
          </w:tcPr>
          <w:p>
            <w:pPr>
              <w:jc w:val="center"/>
              <w:rPr>
                <w:rFonts w:hint="eastAsia" w:ascii="宋体" w:hAnsi="宋体" w:eastAsia="宋体"/>
                <w:sz w:val="22"/>
                <w:szCs w:val="22"/>
                <w:lang w:val="en-US" w:eastAsia="zh-CN"/>
              </w:rPr>
            </w:pPr>
            <w:r>
              <w:rPr>
                <w:rFonts w:hint="eastAsia" w:ascii="宋体" w:hAnsi="宋体"/>
                <w:spacing w:val="-20"/>
                <w:sz w:val="21"/>
                <w:szCs w:val="21"/>
                <w:highlight w:val="none"/>
                <w:lang w:val="en-US" w:eastAsia="zh-CN"/>
              </w:rPr>
              <w:t>15KW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2</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hint="eastAsia" w:ascii="宋体" w:hAnsi="宋体" w:eastAsia="宋体"/>
                <w:sz w:val="22"/>
                <w:szCs w:val="22"/>
                <w:lang w:val="en-US" w:eastAsia="zh-CN"/>
              </w:rPr>
            </w:pPr>
            <w:r>
              <w:rPr>
                <w:rFonts w:hint="eastAsia" w:ascii="宋体" w:hAnsi="宋体"/>
                <w:sz w:val="22"/>
                <w:szCs w:val="22"/>
                <w:lang w:val="en-US" w:eastAsia="zh-CN"/>
              </w:rPr>
              <w:t>一备一用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sz w:val="22"/>
                <w:szCs w:val="22"/>
              </w:rPr>
            </w:pPr>
            <w:r>
              <w:rPr>
                <w:rFonts w:hint="eastAsia" w:ascii="宋体" w:hAnsi="宋体"/>
                <w:sz w:val="22"/>
                <w:szCs w:val="22"/>
              </w:rPr>
              <w:t>注油泵</w:t>
            </w:r>
          </w:p>
        </w:tc>
        <w:tc>
          <w:tcPr>
            <w:tcW w:w="3071" w:type="dxa"/>
            <w:vAlign w:val="top"/>
          </w:tcPr>
          <w:p>
            <w:pPr>
              <w:jc w:val="center"/>
              <w:rPr>
                <w:rFonts w:hint="default" w:ascii="宋体" w:hAnsi="宋体" w:eastAsia="宋体"/>
                <w:sz w:val="22"/>
                <w:szCs w:val="22"/>
                <w:lang w:val="en-US" w:eastAsia="zh-CN"/>
              </w:rPr>
            </w:pPr>
            <w:r>
              <w:rPr>
                <w:rFonts w:hint="eastAsia" w:ascii="宋体" w:hAnsi="宋体"/>
                <w:sz w:val="21"/>
                <w:szCs w:val="21"/>
                <w:highlight w:val="none"/>
                <w:lang w:val="en-US" w:eastAsia="zh-CN"/>
              </w:rPr>
              <w:t>1.5KW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五</w:t>
            </w:r>
          </w:p>
        </w:tc>
        <w:tc>
          <w:tcPr>
            <w:tcW w:w="8280" w:type="dxa"/>
            <w:gridSpan w:val="5"/>
            <w:vAlign w:val="center"/>
          </w:tcPr>
          <w:p>
            <w:pPr>
              <w:spacing w:line="300" w:lineRule="exact"/>
              <w:jc w:val="center"/>
              <w:rPr>
                <w:rFonts w:ascii="宋体" w:hAnsi="宋体" w:eastAsiaTheme="minorEastAsia" w:cstheme="minorBidi"/>
                <w:sz w:val="22"/>
                <w:szCs w:val="22"/>
              </w:rPr>
            </w:pPr>
            <w:r>
              <w:rPr>
                <w:rFonts w:hint="eastAsia" w:ascii="宋体" w:hAnsi="宋体"/>
                <w:b/>
                <w:bCs/>
                <w:sz w:val="22"/>
                <w:szCs w:val="22"/>
              </w:rPr>
              <w:t>本体配套辅机及阀门</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过滤器</w:t>
            </w:r>
          </w:p>
        </w:tc>
        <w:tc>
          <w:tcPr>
            <w:tcW w:w="3071" w:type="dxa"/>
            <w:vAlign w:val="top"/>
          </w:tcPr>
          <w:p>
            <w:pPr>
              <w:jc w:val="center"/>
              <w:rPr>
                <w:rFonts w:hint="default" w:ascii="宋体" w:hAnsi="宋体" w:eastAsia="宋体"/>
                <w:sz w:val="22"/>
                <w:szCs w:val="22"/>
                <w:lang w:val="en-US" w:eastAsia="zh-CN"/>
              </w:rPr>
            </w:pPr>
            <w:r>
              <w:rPr>
                <w:rFonts w:hint="eastAsia" w:ascii="宋体" w:hAnsi="宋体"/>
                <w:sz w:val="22"/>
                <w:szCs w:val="22"/>
              </w:rPr>
              <w:t>厂标</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hint="default" w:ascii="宋体" w:hAnsi="宋体" w:eastAsia="宋体"/>
                <w:sz w:val="22"/>
                <w:szCs w:val="22"/>
                <w:lang w:val="en-US" w:eastAsia="zh-CN"/>
              </w:rPr>
            </w:pPr>
            <w:r>
              <w:rPr>
                <w:rFonts w:hint="eastAsia" w:ascii="宋体" w:hAnsi="宋体"/>
                <w:sz w:val="22"/>
                <w:szCs w:val="22"/>
                <w:lang w:val="en-US" w:eastAsia="zh-CN"/>
              </w:rPr>
              <w:t>河南郑州</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油气分离器</w:t>
            </w:r>
          </w:p>
        </w:tc>
        <w:tc>
          <w:tcPr>
            <w:tcW w:w="3071" w:type="dxa"/>
            <w:vAlign w:val="top"/>
          </w:tcPr>
          <w:p>
            <w:pPr>
              <w:jc w:val="center"/>
              <w:rPr>
                <w:rFonts w:hint="eastAsia" w:ascii="宋体" w:hAnsi="宋体" w:eastAsia="宋体" w:cstheme="minorBidi"/>
                <w:sz w:val="22"/>
                <w:szCs w:val="22"/>
                <w:lang w:val="en-US" w:eastAsia="zh-CN"/>
              </w:rPr>
            </w:pPr>
            <w:r>
              <w:rPr>
                <w:rFonts w:hint="eastAsia" w:ascii="宋体" w:hAnsi="宋体"/>
                <w:sz w:val="22"/>
                <w:szCs w:val="22"/>
              </w:rPr>
              <w:t>厂标</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高位油槽</w:t>
            </w:r>
          </w:p>
        </w:tc>
        <w:tc>
          <w:tcPr>
            <w:tcW w:w="3071" w:type="dxa"/>
          </w:tcPr>
          <w:p>
            <w:pPr>
              <w:jc w:val="center"/>
              <w:rPr>
                <w:rFonts w:ascii="宋体" w:hAnsi="宋体" w:eastAsiaTheme="minorEastAsia" w:cstheme="minorBidi"/>
                <w:sz w:val="22"/>
                <w:szCs w:val="22"/>
              </w:rPr>
            </w:pPr>
            <w:r>
              <w:rPr>
                <w:rFonts w:hint="eastAsia" w:ascii="宋体" w:hAnsi="宋体"/>
                <w:sz w:val="22"/>
                <w:szCs w:val="22"/>
              </w:rPr>
              <w:t>厂标</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4</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低位油槽</w:t>
            </w:r>
          </w:p>
        </w:tc>
        <w:tc>
          <w:tcPr>
            <w:tcW w:w="3071" w:type="dxa"/>
          </w:tcPr>
          <w:p>
            <w:pPr>
              <w:jc w:val="center"/>
              <w:rPr>
                <w:rFonts w:ascii="宋体" w:hAnsi="宋体" w:eastAsiaTheme="minorEastAsia" w:cstheme="minorBidi"/>
                <w:sz w:val="22"/>
                <w:szCs w:val="22"/>
              </w:rPr>
            </w:pPr>
            <w:r>
              <w:rPr>
                <w:rFonts w:hint="eastAsia" w:ascii="宋体" w:hAnsi="宋体"/>
                <w:sz w:val="22"/>
                <w:szCs w:val="22"/>
              </w:rPr>
              <w:t>厂标</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5</w:t>
            </w:r>
          </w:p>
        </w:tc>
        <w:tc>
          <w:tcPr>
            <w:tcW w:w="2090" w:type="dxa"/>
            <w:vAlign w:val="center"/>
          </w:tcPr>
          <w:p>
            <w:pPr>
              <w:jc w:val="center"/>
              <w:rPr>
                <w:rFonts w:ascii="宋体" w:hAnsi="宋体"/>
                <w:sz w:val="22"/>
                <w:szCs w:val="22"/>
              </w:rPr>
            </w:pPr>
            <w:r>
              <w:rPr>
                <w:rFonts w:hint="eastAsia" w:ascii="宋体" w:hAnsi="宋体"/>
                <w:sz w:val="22"/>
                <w:szCs w:val="22"/>
              </w:rPr>
              <w:t>液位计</w:t>
            </w:r>
          </w:p>
        </w:tc>
        <w:tc>
          <w:tcPr>
            <w:tcW w:w="3071" w:type="dxa"/>
          </w:tcPr>
          <w:p>
            <w:pPr>
              <w:jc w:val="center"/>
              <w:rPr>
                <w:rFonts w:ascii="宋体" w:hAnsi="宋体"/>
                <w:sz w:val="22"/>
                <w:szCs w:val="22"/>
              </w:rPr>
            </w:pPr>
            <w:r>
              <w:rPr>
                <w:rFonts w:hint="eastAsia" w:ascii="宋体" w:hAnsi="宋体"/>
                <w:sz w:val="22"/>
                <w:szCs w:val="22"/>
              </w:rPr>
              <w:t>厂标</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6</w:t>
            </w:r>
          </w:p>
        </w:tc>
        <w:tc>
          <w:tcPr>
            <w:tcW w:w="2090" w:type="dxa"/>
            <w:vAlign w:val="center"/>
          </w:tcPr>
          <w:p>
            <w:pPr>
              <w:jc w:val="center"/>
              <w:rPr>
                <w:rFonts w:ascii="宋体" w:hAnsi="宋体"/>
                <w:sz w:val="22"/>
                <w:szCs w:val="22"/>
              </w:rPr>
            </w:pPr>
            <w:r>
              <w:rPr>
                <w:rFonts w:hint="eastAsia" w:ascii="宋体" w:hAnsi="宋体"/>
                <w:sz w:val="22"/>
                <w:szCs w:val="22"/>
              </w:rPr>
              <w:t>浮球液位计</w:t>
            </w:r>
          </w:p>
        </w:tc>
        <w:tc>
          <w:tcPr>
            <w:tcW w:w="3071" w:type="dxa"/>
          </w:tcPr>
          <w:p>
            <w:pPr>
              <w:jc w:val="center"/>
              <w:rPr>
                <w:rFonts w:ascii="宋体" w:hAnsi="宋体"/>
                <w:sz w:val="22"/>
                <w:szCs w:val="22"/>
              </w:rPr>
            </w:pPr>
            <w:r>
              <w:rPr>
                <w:rFonts w:hint="eastAsia" w:ascii="宋体" w:hAnsi="宋体"/>
                <w:sz w:val="22"/>
                <w:szCs w:val="22"/>
                <w:lang w:val="en-US" w:eastAsia="zh-CN"/>
              </w:rPr>
              <w:t>U</w:t>
            </w:r>
            <w:r>
              <w:rPr>
                <w:rFonts w:hint="eastAsia" w:ascii="宋体" w:hAnsi="宋体"/>
                <w:sz w:val="22"/>
                <w:szCs w:val="22"/>
              </w:rPr>
              <w:t>FQ-02</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7</w:t>
            </w:r>
          </w:p>
        </w:tc>
        <w:tc>
          <w:tcPr>
            <w:tcW w:w="2090" w:type="dxa"/>
            <w:vAlign w:val="center"/>
          </w:tcPr>
          <w:p>
            <w:pPr>
              <w:jc w:val="center"/>
              <w:rPr>
                <w:rFonts w:ascii="宋体" w:hAnsi="宋体"/>
                <w:sz w:val="22"/>
                <w:szCs w:val="22"/>
              </w:rPr>
            </w:pPr>
            <w:r>
              <w:rPr>
                <w:rFonts w:hint="eastAsia" w:ascii="宋体" w:hAnsi="宋体"/>
                <w:sz w:val="22"/>
                <w:szCs w:val="22"/>
              </w:rPr>
              <w:t>注塞阀</w:t>
            </w:r>
          </w:p>
        </w:tc>
        <w:tc>
          <w:tcPr>
            <w:tcW w:w="3071" w:type="dxa"/>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 w:val="22"/>
                <w:szCs w:val="22"/>
                <w:lang w:val="en-US" w:eastAsia="zh-CN"/>
              </w:rPr>
              <w:t>DN15</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个</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8</w:t>
            </w:r>
          </w:p>
        </w:tc>
        <w:tc>
          <w:tcPr>
            <w:tcW w:w="2090" w:type="dxa"/>
            <w:vAlign w:val="center"/>
          </w:tcPr>
          <w:p>
            <w:pPr>
              <w:jc w:val="center"/>
              <w:rPr>
                <w:rFonts w:ascii="宋体" w:hAnsi="宋体"/>
                <w:sz w:val="22"/>
                <w:szCs w:val="22"/>
              </w:rPr>
            </w:pPr>
            <w:r>
              <w:rPr>
                <w:rFonts w:hint="eastAsia" w:ascii="宋体" w:hAnsi="宋体"/>
                <w:sz w:val="22"/>
                <w:szCs w:val="22"/>
              </w:rPr>
              <w:t>截止阀(高温)</w:t>
            </w:r>
          </w:p>
        </w:tc>
        <w:tc>
          <w:tcPr>
            <w:tcW w:w="3071" w:type="dxa"/>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 w:val="22"/>
                <w:szCs w:val="22"/>
              </w:rPr>
              <w:t>PN1.6 DN</w:t>
            </w:r>
            <w:r>
              <w:rPr>
                <w:rFonts w:hint="eastAsia" w:ascii="宋体" w:hAnsi="宋体" w:eastAsiaTheme="minorEastAsia" w:cstheme="minorBidi"/>
                <w:sz w:val="22"/>
                <w:szCs w:val="22"/>
                <w:lang w:val="en-US" w:eastAsia="zh-CN"/>
              </w:rPr>
              <w:t>100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六</w:t>
            </w:r>
          </w:p>
        </w:tc>
        <w:tc>
          <w:tcPr>
            <w:tcW w:w="8280" w:type="dxa"/>
            <w:gridSpan w:val="5"/>
            <w:vAlign w:val="center"/>
          </w:tcPr>
          <w:p>
            <w:pPr>
              <w:jc w:val="center"/>
              <w:rPr>
                <w:rFonts w:ascii="宋体" w:hAnsi="宋体" w:eastAsiaTheme="minorEastAsia" w:cstheme="minorBidi"/>
                <w:sz w:val="22"/>
                <w:szCs w:val="22"/>
              </w:rPr>
            </w:pPr>
            <w:r>
              <w:rPr>
                <w:rFonts w:hint="eastAsia" w:ascii="宋体" w:hAnsi="宋体"/>
                <w:b/>
                <w:bCs/>
                <w:sz w:val="22"/>
                <w:szCs w:val="22"/>
              </w:rPr>
              <w:t>锅炉产品出厂随机技术资料</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产品质量证明书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安装使用说明书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制造许可证复印件</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产品总装图</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产品本体图</w:t>
            </w:r>
          </w:p>
        </w:tc>
        <w:tc>
          <w:tcPr>
            <w:tcW w:w="3071" w:type="dxa"/>
            <w:vAlign w:val="center"/>
          </w:tcPr>
          <w:p>
            <w:pPr>
              <w:jc w:val="center"/>
              <w:rPr>
                <w:rFonts w:ascii="宋体" w:hAnsi="宋体"/>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6</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产品管道仪表图</w:t>
            </w:r>
          </w:p>
        </w:tc>
        <w:tc>
          <w:tcPr>
            <w:tcW w:w="3071" w:type="dxa"/>
            <w:vAlign w:val="center"/>
          </w:tcPr>
          <w:p>
            <w:pPr>
              <w:jc w:val="center"/>
              <w:rPr>
                <w:rFonts w:ascii="宋体" w:hAnsi="宋体"/>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7</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产品地基图</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8</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计算结果汇总表</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9</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监督检验证书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w:t>
            </w:r>
            <w:r>
              <w:rPr>
                <w:rFonts w:hint="eastAsia" w:ascii="宋体" w:hAnsi="宋体"/>
                <w:sz w:val="22"/>
                <w:szCs w:val="22"/>
                <w:lang w:val="en-US" w:eastAsia="zh-CN"/>
              </w:rPr>
              <w:t>DW-700KW-D</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周口锅检</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457" w:type="dxa"/>
            <w:gridSpan w:val="7"/>
            <w:vAlign w:val="center"/>
          </w:tcPr>
          <w:p>
            <w:pPr>
              <w:jc w:val="center"/>
              <w:rPr>
                <w:rFonts w:ascii="宋体" w:hAnsi="宋体"/>
                <w:sz w:val="22"/>
                <w:szCs w:val="22"/>
              </w:rPr>
            </w:pPr>
            <w:r>
              <w:rPr>
                <w:rFonts w:hint="eastAsia" w:ascii="宋体" w:hAnsi="宋体"/>
                <w:sz w:val="22"/>
                <w:szCs w:val="22"/>
              </w:rPr>
              <w:t>以上全套总价合计：         元整 （￥：    .00元）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457" w:type="dxa"/>
            <w:gridSpan w:val="7"/>
            <w:vAlign w:val="center"/>
          </w:tcPr>
          <w:p>
            <w:pPr>
              <w:jc w:val="left"/>
              <w:rPr>
                <w:rFonts w:ascii="宋体" w:hAnsi="宋体" w:eastAsiaTheme="minorEastAsia"/>
                <w:sz w:val="22"/>
                <w:szCs w:val="22"/>
              </w:rPr>
            </w:pPr>
            <w:r>
              <w:rPr>
                <w:rFonts w:hint="eastAsia" w:ascii="宋体" w:hAnsi="宋体"/>
                <w:sz w:val="22"/>
                <w:szCs w:val="22"/>
              </w:rPr>
              <w:t>注：</w:t>
            </w:r>
          </w:p>
        </w:tc>
      </w:tr>
    </w:tbl>
    <w:p>
      <w:pPr>
        <w:pStyle w:val="3"/>
        <w:jc w:val="left"/>
        <w:outlineLvl w:val="0"/>
        <w:rPr>
          <w:rFonts w:hint="eastAsia" w:ascii="Arial" w:hAnsi="Arial" w:eastAsia="黑体" w:cs="Times New Roman"/>
          <w:b/>
          <w:kern w:val="2"/>
          <w:sz w:val="32"/>
          <w:szCs w:val="24"/>
          <w:lang w:val="en-US" w:eastAsia="zh-CN" w:bidi="ar-SA"/>
        </w:rPr>
      </w:pPr>
      <w:bookmarkStart w:id="2" w:name="_Toc21572"/>
      <w:r>
        <w:rPr>
          <w:rFonts w:hint="eastAsia" w:ascii="Arial" w:hAnsi="Arial" w:eastAsia="黑体" w:cs="Times New Roman"/>
          <w:b/>
          <w:kern w:val="2"/>
          <w:sz w:val="32"/>
          <w:szCs w:val="24"/>
          <w:lang w:val="en-US" w:eastAsia="zh-CN" w:bidi="ar-SA"/>
        </w:rPr>
        <w:t>二、技术参数：</w:t>
      </w:r>
      <w:bookmarkEnd w:id="1"/>
      <w:bookmarkEnd w:id="2"/>
    </w:p>
    <w:tbl>
      <w:tblPr>
        <w:tblStyle w:val="12"/>
        <w:tblW w:w="1032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3186"/>
        <w:gridCol w:w="1942"/>
        <w:gridCol w:w="519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53" w:hRule="atLeast"/>
          <w:jc w:val="center"/>
        </w:trPr>
        <w:tc>
          <w:tcPr>
            <w:tcW w:w="10320" w:type="dxa"/>
            <w:gridSpan w:val="3"/>
            <w:vAlign w:val="center"/>
          </w:tcPr>
          <w:p>
            <w:pPr>
              <w:pStyle w:val="11"/>
              <w:spacing w:line="360" w:lineRule="auto"/>
              <w:jc w:val="center"/>
              <w:rPr>
                <w:sz w:val="21"/>
                <w:szCs w:val="21"/>
              </w:rPr>
            </w:pPr>
            <w:bookmarkStart w:id="3" w:name="_Toc6106"/>
            <w:r>
              <w:rPr>
                <w:rFonts w:hint="eastAsia"/>
                <w:b/>
                <w:bCs/>
                <w:sz w:val="32"/>
                <w:szCs w:val="32"/>
              </w:rPr>
              <w:t>导热油炉数据表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vAlign w:val="center"/>
          </w:tcPr>
          <w:p>
            <w:pPr>
              <w:pStyle w:val="11"/>
              <w:spacing w:line="360" w:lineRule="auto"/>
              <w:jc w:val="center"/>
              <w:rPr>
                <w:rFonts w:ascii="Tahoma" w:hAnsi="Tahoma" w:eastAsia="Tahoma" w:cs="Tahoma"/>
                <w:sz w:val="24"/>
                <w:szCs w:val="24"/>
              </w:rPr>
            </w:pPr>
            <w:r>
              <w:rPr>
                <w:rFonts w:hint="eastAsia" w:ascii="Tahoma" w:hAnsi="Tahoma" w:eastAsia="Tahoma" w:cs="Tahoma"/>
                <w:sz w:val="24"/>
                <w:szCs w:val="24"/>
              </w:rPr>
              <w:t>型号</w:t>
            </w:r>
          </w:p>
        </w:tc>
        <w:tc>
          <w:tcPr>
            <w:tcW w:w="5192" w:type="dxa"/>
            <w:vAlign w:val="center"/>
          </w:tcPr>
          <w:p>
            <w:pPr>
              <w:pStyle w:val="11"/>
              <w:spacing w:line="360" w:lineRule="auto"/>
              <w:jc w:val="center"/>
              <w:rPr>
                <w:rFonts w:ascii="Tahoma" w:hAnsi="Tahoma" w:cs="Tahoma"/>
                <w:sz w:val="24"/>
                <w:szCs w:val="24"/>
              </w:rPr>
            </w:pPr>
            <w:r>
              <w:rPr>
                <w:rFonts w:hint="eastAsia" w:ascii="Tahoma" w:hAnsi="Tahoma" w:cs="Tahoma"/>
                <w:sz w:val="24"/>
                <w:szCs w:val="24"/>
                <w:lang w:val="en-US" w:eastAsia="zh-CN"/>
              </w:rPr>
              <w:t xml:space="preserve">YDW-700KW-D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bottom w:val="single" w:color="auto" w:sz="4" w:space="0"/>
            </w:tcBorders>
            <w:vAlign w:val="center"/>
          </w:tcPr>
          <w:p>
            <w:pPr>
              <w:pStyle w:val="11"/>
              <w:spacing w:line="360" w:lineRule="auto"/>
              <w:jc w:val="center"/>
              <w:rPr>
                <w:rFonts w:ascii="Tahoma" w:hAnsi="Tahoma" w:eastAsia="Tahoma" w:cs="Tahoma"/>
                <w:sz w:val="24"/>
                <w:szCs w:val="24"/>
              </w:rPr>
            </w:pPr>
            <w:r>
              <w:rPr>
                <w:rFonts w:hint="eastAsia" w:ascii="Tahoma" w:hAnsi="Tahoma" w:cs="Tahoma"/>
                <w:sz w:val="24"/>
                <w:szCs w:val="24"/>
              </w:rPr>
              <w:t>导热油供热量</w:t>
            </w:r>
          </w:p>
        </w:tc>
        <w:tc>
          <w:tcPr>
            <w:tcW w:w="5192" w:type="dxa"/>
            <w:vAlign w:val="center"/>
          </w:tcPr>
          <w:p>
            <w:pPr>
              <w:pStyle w:val="11"/>
              <w:spacing w:line="360" w:lineRule="auto"/>
              <w:jc w:val="center"/>
              <w:rPr>
                <w:rFonts w:ascii="Tahoma" w:hAnsi="Tahoma" w:cs="Tahoma"/>
                <w:sz w:val="24"/>
                <w:szCs w:val="24"/>
              </w:rPr>
            </w:pPr>
            <w:r>
              <w:rPr>
                <w:rFonts w:hint="eastAsia" w:ascii="Tahoma" w:hAnsi="Tahoma" w:cs="Tahoma"/>
                <w:sz w:val="24"/>
                <w:szCs w:val="24"/>
                <w:lang w:val="en-US" w:eastAsia="zh-CN"/>
              </w:rPr>
              <w:t>700</w:t>
            </w:r>
            <w:r>
              <w:rPr>
                <w:rFonts w:hint="eastAsia" w:ascii="Tahoma" w:hAnsi="Tahoma" w:cs="Tahoma"/>
                <w:sz w:val="24"/>
                <w:szCs w:val="24"/>
              </w:rPr>
              <w:t>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vAlign w:val="center"/>
          </w:tcPr>
          <w:p>
            <w:pPr>
              <w:pStyle w:val="11"/>
              <w:spacing w:line="360" w:lineRule="auto"/>
              <w:jc w:val="center"/>
              <w:rPr>
                <w:sz w:val="24"/>
                <w:szCs w:val="24"/>
              </w:rPr>
            </w:pPr>
            <w:r>
              <w:rPr>
                <w:rFonts w:hint="eastAsia" w:ascii="Tahoma" w:hAnsi="Tahoma" w:cs="Tahoma"/>
                <w:sz w:val="24"/>
                <w:szCs w:val="24"/>
              </w:rPr>
              <w:t>锅炉工作</w:t>
            </w:r>
            <w:r>
              <w:rPr>
                <w:rFonts w:ascii="Tahoma" w:hAnsi="Tahoma" w:eastAsia="Tahoma" w:cs="Tahoma"/>
                <w:sz w:val="24"/>
                <w:szCs w:val="24"/>
              </w:rPr>
              <w:t>压力</w:t>
            </w:r>
          </w:p>
        </w:tc>
        <w:tc>
          <w:tcPr>
            <w:tcW w:w="5192" w:type="dxa"/>
            <w:vAlign w:val="center"/>
          </w:tcPr>
          <w:p>
            <w:pPr>
              <w:pStyle w:val="11"/>
              <w:spacing w:line="360" w:lineRule="auto"/>
              <w:jc w:val="center"/>
              <w:rPr>
                <w:sz w:val="24"/>
                <w:szCs w:val="24"/>
              </w:rPr>
            </w:pPr>
            <w:r>
              <w:rPr>
                <w:rFonts w:hint="eastAsia" w:ascii="Tahoma" w:hAnsi="Tahoma" w:eastAsia="宋体" w:cs="Tahoma"/>
                <w:sz w:val="24"/>
                <w:szCs w:val="24"/>
                <w:lang w:val="en-US" w:eastAsia="zh-CN"/>
              </w:rPr>
              <w:t>0.7</w:t>
            </w:r>
            <w:r>
              <w:rPr>
                <w:rFonts w:ascii="Tahoma" w:hAnsi="Tahoma" w:eastAsia="Tahoma" w:cs="Tahoma"/>
                <w:sz w:val="24"/>
                <w:szCs w:val="24"/>
              </w:rPr>
              <w:t>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vAlign w:val="center"/>
          </w:tcPr>
          <w:p>
            <w:pPr>
              <w:pStyle w:val="11"/>
              <w:spacing w:line="360" w:lineRule="auto"/>
              <w:jc w:val="center"/>
              <w:rPr>
                <w:sz w:val="24"/>
                <w:szCs w:val="24"/>
              </w:rPr>
            </w:pPr>
            <w:r>
              <w:rPr>
                <w:rFonts w:ascii="Tahoma" w:hAnsi="Tahoma" w:eastAsia="Tahoma" w:cs="Tahoma"/>
                <w:sz w:val="24"/>
                <w:szCs w:val="24"/>
              </w:rPr>
              <w:t>额定</w:t>
            </w:r>
            <w:r>
              <w:rPr>
                <w:rFonts w:hint="eastAsia" w:ascii="Tahoma" w:hAnsi="Tahoma" w:cs="Tahoma"/>
                <w:sz w:val="24"/>
                <w:szCs w:val="24"/>
              </w:rPr>
              <w:t>出口油</w:t>
            </w:r>
            <w:r>
              <w:rPr>
                <w:rFonts w:ascii="Tahoma" w:hAnsi="Tahoma" w:eastAsia="Tahoma" w:cs="Tahoma"/>
                <w:sz w:val="24"/>
                <w:szCs w:val="24"/>
              </w:rPr>
              <w:t>温</w:t>
            </w:r>
          </w:p>
        </w:tc>
        <w:tc>
          <w:tcPr>
            <w:tcW w:w="5192" w:type="dxa"/>
            <w:vAlign w:val="center"/>
          </w:tcPr>
          <w:p>
            <w:pPr>
              <w:pStyle w:val="11"/>
              <w:spacing w:line="360" w:lineRule="auto"/>
              <w:jc w:val="center"/>
              <w:rPr>
                <w:sz w:val="24"/>
                <w:szCs w:val="24"/>
              </w:rPr>
            </w:pPr>
            <w:r>
              <w:rPr>
                <w:rFonts w:hint="eastAsia" w:ascii="Tahoma" w:hAnsi="Tahoma" w:cs="Tahoma"/>
                <w:sz w:val="24"/>
                <w:szCs w:val="24"/>
              </w:rPr>
              <w:t>3</w:t>
            </w:r>
            <w:r>
              <w:rPr>
                <w:rFonts w:hint="eastAsia" w:ascii="Tahoma" w:hAnsi="Tahoma" w:cs="Tahoma"/>
                <w:sz w:val="24"/>
                <w:szCs w:val="24"/>
                <w:lang w:val="en-US" w:eastAsia="zh-CN"/>
              </w:rPr>
              <w:t>0</w:t>
            </w:r>
            <w:r>
              <w:rPr>
                <w:rFonts w:hint="eastAsia" w:ascii="Tahoma" w:hAnsi="Tahoma" w:cs="Tahoma"/>
                <w:sz w:val="24"/>
                <w:szCs w:val="24"/>
              </w:rPr>
              <w:t>0</w:t>
            </w:r>
            <w:r>
              <w:rPr>
                <w:rFonts w:ascii="Tahoma" w:hAnsi="Tahoma" w:eastAsia="Tahoma" w:cs="Tahoma"/>
                <w:sz w:val="24"/>
                <w:szCs w:val="24"/>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vAlign w:val="center"/>
          </w:tcPr>
          <w:p>
            <w:pPr>
              <w:pStyle w:val="11"/>
              <w:spacing w:line="360" w:lineRule="auto"/>
              <w:jc w:val="center"/>
              <w:rPr>
                <w:sz w:val="24"/>
                <w:szCs w:val="24"/>
              </w:rPr>
            </w:pPr>
            <w:r>
              <w:rPr>
                <w:rFonts w:ascii="Tahoma" w:hAnsi="Tahoma" w:eastAsia="Tahoma" w:cs="Tahoma"/>
                <w:sz w:val="24"/>
                <w:szCs w:val="24"/>
              </w:rPr>
              <w:t>额定</w:t>
            </w:r>
            <w:r>
              <w:rPr>
                <w:rFonts w:hint="eastAsia" w:ascii="Tahoma" w:hAnsi="Tahoma" w:cs="Tahoma"/>
                <w:sz w:val="24"/>
                <w:szCs w:val="24"/>
              </w:rPr>
              <w:t>回油温度</w:t>
            </w:r>
          </w:p>
        </w:tc>
        <w:tc>
          <w:tcPr>
            <w:tcW w:w="5192" w:type="dxa"/>
            <w:vAlign w:val="center"/>
          </w:tcPr>
          <w:p>
            <w:pPr>
              <w:pStyle w:val="11"/>
              <w:spacing w:line="360" w:lineRule="auto"/>
              <w:jc w:val="center"/>
              <w:rPr>
                <w:sz w:val="24"/>
                <w:szCs w:val="24"/>
              </w:rPr>
            </w:pPr>
            <w:r>
              <w:rPr>
                <w:rFonts w:hint="eastAsia" w:ascii="Tahoma" w:hAnsi="Tahoma" w:cs="Tahoma"/>
                <w:sz w:val="24"/>
                <w:szCs w:val="24"/>
              </w:rPr>
              <w:t>2</w:t>
            </w:r>
            <w:r>
              <w:rPr>
                <w:rFonts w:hint="eastAsia" w:ascii="Tahoma" w:hAnsi="Tahoma" w:cs="Tahoma"/>
                <w:sz w:val="24"/>
                <w:szCs w:val="24"/>
                <w:lang w:val="en-US" w:eastAsia="zh-CN"/>
              </w:rPr>
              <w:t>8</w:t>
            </w:r>
            <w:r>
              <w:rPr>
                <w:rFonts w:hint="eastAsia" w:ascii="Tahoma" w:hAnsi="Tahoma" w:cs="Tahoma"/>
                <w:sz w:val="24"/>
                <w:szCs w:val="24"/>
              </w:rPr>
              <w:t>0</w:t>
            </w:r>
            <w:r>
              <w:rPr>
                <w:rFonts w:ascii="Tahoma" w:hAnsi="Tahoma" w:eastAsia="Tahoma" w:cs="Tahoma"/>
                <w:sz w:val="24"/>
                <w:szCs w:val="24"/>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vAlign w:val="center"/>
          </w:tcPr>
          <w:p>
            <w:pPr>
              <w:pStyle w:val="11"/>
              <w:spacing w:line="360" w:lineRule="auto"/>
              <w:jc w:val="center"/>
              <w:rPr>
                <w:rFonts w:hint="eastAsia" w:ascii="Tahoma" w:hAnsi="Tahoma" w:cs="Tahoma"/>
                <w:sz w:val="24"/>
                <w:szCs w:val="24"/>
              </w:rPr>
            </w:pPr>
            <w:r>
              <w:rPr>
                <w:rFonts w:hint="eastAsia" w:ascii="Tahoma" w:hAnsi="Tahoma" w:cs="Tahoma"/>
                <w:sz w:val="24"/>
                <w:szCs w:val="24"/>
              </w:rPr>
              <w:t>本体储油量</w:t>
            </w:r>
          </w:p>
        </w:tc>
        <w:tc>
          <w:tcPr>
            <w:tcW w:w="5192" w:type="dxa"/>
            <w:vAlign w:val="center"/>
          </w:tcPr>
          <w:p>
            <w:pPr>
              <w:pStyle w:val="11"/>
              <w:spacing w:line="360" w:lineRule="auto"/>
              <w:jc w:val="center"/>
              <w:rPr>
                <w:rFonts w:hint="eastAsia" w:ascii="Tahoma" w:hAnsi="Tahoma" w:cs="Tahoma"/>
                <w:sz w:val="24"/>
                <w:szCs w:val="24"/>
              </w:rPr>
            </w:pPr>
            <w:r>
              <w:rPr>
                <w:rFonts w:hint="eastAsia" w:ascii="Tahoma" w:hAnsi="Tahoma" w:cs="Tahoma"/>
                <w:sz w:val="24"/>
                <w:szCs w:val="24"/>
              </w:rPr>
              <w:t>0.</w:t>
            </w:r>
            <w:r>
              <w:rPr>
                <w:rFonts w:hint="eastAsia" w:ascii="Tahoma" w:hAnsi="Tahoma" w:cs="Tahoma"/>
                <w:sz w:val="24"/>
                <w:szCs w:val="24"/>
                <w:lang w:val="en-US" w:eastAsia="zh-CN"/>
              </w:rPr>
              <w:t>3</w:t>
            </w:r>
            <w:r>
              <w:rPr>
                <w:rFonts w:hint="eastAsia" w:ascii="Tahoma" w:hAnsi="Tahoma" w:cs="Tahoma"/>
                <w:sz w:val="24"/>
                <w:szCs w:val="24"/>
              </w:rPr>
              <w:t>m3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86" w:type="dxa"/>
            <w:vMerge w:val="restart"/>
            <w:vAlign w:val="center"/>
          </w:tcPr>
          <w:p>
            <w:pPr>
              <w:pStyle w:val="11"/>
              <w:spacing w:line="360" w:lineRule="auto"/>
              <w:jc w:val="center"/>
              <w:rPr>
                <w:rFonts w:hint="eastAsia" w:ascii="Tahoma" w:hAnsi="Tahoma" w:cs="Tahoma"/>
                <w:sz w:val="24"/>
                <w:szCs w:val="24"/>
              </w:rPr>
            </w:pPr>
            <w:r>
              <w:rPr>
                <w:rFonts w:hint="eastAsia" w:ascii="Tahoma" w:hAnsi="Tahoma" w:cs="Tahoma"/>
                <w:sz w:val="24"/>
                <w:szCs w:val="24"/>
                <w:lang w:val="en-US" w:eastAsia="zh-CN"/>
              </w:rPr>
              <w:t>设计能源</w:t>
            </w:r>
          </w:p>
        </w:tc>
        <w:tc>
          <w:tcPr>
            <w:tcW w:w="1942" w:type="dxa"/>
            <w:tcBorders>
              <w:right w:val="single" w:color="auto" w:sz="4" w:space="0"/>
            </w:tcBorders>
            <w:vAlign w:val="center"/>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电</w:t>
            </w:r>
          </w:p>
        </w:tc>
        <w:tc>
          <w:tcPr>
            <w:tcW w:w="5192" w:type="dxa"/>
            <w:tcBorders>
              <w:left w:val="single" w:color="auto" w:sz="4" w:space="0"/>
            </w:tcBorders>
            <w:vAlign w:val="center"/>
          </w:tcPr>
          <w:p>
            <w:pPr>
              <w:pStyle w:val="11"/>
              <w:spacing w:line="360" w:lineRule="auto"/>
              <w:jc w:val="center"/>
              <w:rPr>
                <w:rFonts w:hint="default" w:ascii="Tahoma" w:hAnsi="Tahoma" w:cs="Tahoma"/>
                <w:sz w:val="24"/>
                <w:szCs w:val="24"/>
                <w:lang w:val="en-US" w:eastAsia="zh-CN"/>
              </w:rPr>
            </w:pPr>
            <w:r>
              <w:rPr>
                <w:rFonts w:hint="eastAsia" w:ascii="Tahoma" w:hAnsi="Tahoma" w:cs="Tahoma"/>
                <w:sz w:val="24"/>
                <w:szCs w:val="24"/>
                <w:lang w:val="en-US" w:eastAsia="zh-CN"/>
              </w:rPr>
              <w:t>1KW·h=3.6×10^6J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3186" w:type="dxa"/>
            <w:vMerge w:val="continue"/>
            <w:vAlign w:val="center"/>
          </w:tcPr>
          <w:p>
            <w:pPr>
              <w:pStyle w:val="11"/>
              <w:spacing w:line="360" w:lineRule="auto"/>
              <w:jc w:val="center"/>
              <w:rPr>
                <w:rFonts w:hint="default" w:ascii="Tahoma" w:hAnsi="Tahoma" w:cs="Tahoma"/>
                <w:sz w:val="24"/>
                <w:szCs w:val="24"/>
                <w:lang w:val="en-US" w:eastAsia="zh-CN"/>
              </w:rPr>
            </w:pPr>
            <w:r>
              <w:rPr>
                <w:rFonts w:hint="eastAsia" w:ascii="Tahoma" w:hAnsi="Tahoma" w:cs="Tahoma"/>
                <w:sz w:val="24"/>
                <w:szCs w:val="24"/>
                <w:lang w:val="en-US" w:eastAsia="zh-CN"/>
              </w:rPr>
              <w:t>能源消耗量</w:t>
            </w:r>
          </w:p>
        </w:tc>
        <w:tc>
          <w:tcPr>
            <w:tcW w:w="1942" w:type="dxa"/>
            <w:tcBorders>
              <w:right w:val="single" w:color="auto" w:sz="4" w:space="0"/>
            </w:tcBorders>
            <w:vAlign w:val="center"/>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电</w:t>
            </w:r>
          </w:p>
        </w:tc>
        <w:tc>
          <w:tcPr>
            <w:tcW w:w="5192" w:type="dxa"/>
            <w:tcBorders>
              <w:left w:val="single" w:color="auto" w:sz="4" w:space="0"/>
            </w:tcBorders>
            <w:vAlign w:val="center"/>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70-700KW/h（最小工况/最大工况）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安装位置</w:t>
            </w:r>
          </w:p>
        </w:tc>
        <w:tc>
          <w:tcPr>
            <w:tcW w:w="5192" w:type="dxa"/>
            <w:tcBorders>
              <w:lef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结构形式</w:t>
            </w:r>
          </w:p>
        </w:tc>
        <w:tc>
          <w:tcPr>
            <w:tcW w:w="5192" w:type="dxa"/>
            <w:tcBorders>
              <w:lef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电压V</w:t>
            </w:r>
          </w:p>
        </w:tc>
        <w:tc>
          <w:tcPr>
            <w:tcW w:w="5192" w:type="dxa"/>
            <w:tcBorders>
              <w:lef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电压上下最大浮动％</w:t>
            </w:r>
          </w:p>
        </w:tc>
        <w:tc>
          <w:tcPr>
            <w:tcW w:w="5192" w:type="dxa"/>
            <w:tcBorders>
              <w:lef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电源频率Hz</w:t>
            </w:r>
          </w:p>
        </w:tc>
        <w:tc>
          <w:tcPr>
            <w:tcW w:w="5192" w:type="dxa"/>
            <w:tcBorders>
              <w:lef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频率最大浮动％</w:t>
            </w:r>
          </w:p>
        </w:tc>
        <w:tc>
          <w:tcPr>
            <w:tcW w:w="5192" w:type="dxa"/>
            <w:tcBorders>
              <w:lef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耗电功率KW</w:t>
            </w:r>
          </w:p>
        </w:tc>
        <w:tc>
          <w:tcPr>
            <w:tcW w:w="5192" w:type="dxa"/>
            <w:tcBorders>
              <w:left w:val="single" w:color="auto" w:sz="4" w:space="0"/>
            </w:tcBorders>
            <w:vAlign w:val="top"/>
          </w:tcPr>
          <w:p>
            <w:pPr>
              <w:pStyle w:val="11"/>
              <w:spacing w:line="360" w:lineRule="auto"/>
              <w:jc w:val="center"/>
              <w:rPr>
                <w:rFonts w:hint="default" w:ascii="Tahoma" w:hAnsi="Tahoma" w:cs="Tahoma"/>
                <w:sz w:val="24"/>
                <w:szCs w:val="24"/>
                <w:lang w:val="en-US" w:eastAsia="zh-CN"/>
              </w:rPr>
            </w:pPr>
            <w:r>
              <w:rPr>
                <w:rFonts w:hint="eastAsia" w:ascii="Tahoma" w:hAnsi="Tahoma" w:cs="Tahoma"/>
                <w:sz w:val="24"/>
                <w:szCs w:val="24"/>
                <w:lang w:val="en-US" w:eastAsia="zh-CN"/>
              </w:rPr>
              <w:t>700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变压器KVA</w:t>
            </w:r>
          </w:p>
        </w:tc>
        <w:tc>
          <w:tcPr>
            <w:tcW w:w="5192" w:type="dxa"/>
            <w:tcBorders>
              <w:left w:val="single" w:color="auto" w:sz="4" w:space="0"/>
            </w:tcBorders>
            <w:vAlign w:val="top"/>
          </w:tcPr>
          <w:p>
            <w:pPr>
              <w:pStyle w:val="11"/>
              <w:spacing w:line="360" w:lineRule="auto"/>
              <w:jc w:val="center"/>
              <w:rPr>
                <w:rFonts w:hint="default" w:ascii="Tahoma" w:hAnsi="Tahoma" w:cs="Tahoma"/>
                <w:sz w:val="24"/>
                <w:szCs w:val="24"/>
                <w:lang w:val="en-US" w:eastAsia="zh-CN"/>
              </w:rPr>
            </w:pPr>
            <w:r>
              <w:rPr>
                <w:rFonts w:hint="eastAsia" w:ascii="Tahoma" w:hAnsi="Tahoma" w:cs="Tahoma"/>
                <w:sz w:val="24"/>
                <w:szCs w:val="24"/>
                <w:lang w:val="en-US" w:eastAsia="zh-CN"/>
              </w:rPr>
              <w:t>1100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top"/>
          </w:tcPr>
          <w:p>
            <w:pPr>
              <w:pStyle w:val="11"/>
              <w:spacing w:line="360" w:lineRule="auto"/>
              <w:jc w:val="center"/>
              <w:rPr>
                <w:rFonts w:hint="eastAsia" w:ascii="Tahoma" w:hAnsi="Tahoma" w:cs="Tahoma"/>
                <w:sz w:val="24"/>
                <w:szCs w:val="24"/>
                <w:lang w:val="en-US" w:eastAsia="zh-CN"/>
              </w:rPr>
            </w:pPr>
            <w:r>
              <w:rPr>
                <w:rFonts w:hint="eastAsia" w:ascii="Tahoma" w:hAnsi="Tahoma" w:cs="Tahoma"/>
                <w:sz w:val="24"/>
                <w:szCs w:val="24"/>
                <w:lang w:val="en-US" w:eastAsia="zh-CN"/>
              </w:rPr>
              <w:t>主电源线m²</w:t>
            </w:r>
          </w:p>
        </w:tc>
        <w:tc>
          <w:tcPr>
            <w:tcW w:w="5192" w:type="dxa"/>
            <w:tcBorders>
              <w:left w:val="single" w:color="auto" w:sz="4" w:space="0"/>
            </w:tcBorders>
            <w:vAlign w:val="top"/>
          </w:tcPr>
          <w:p>
            <w:pPr>
              <w:pStyle w:val="11"/>
              <w:spacing w:line="360" w:lineRule="auto"/>
              <w:jc w:val="center"/>
              <w:rPr>
                <w:rFonts w:hint="default" w:ascii="Tahoma" w:hAnsi="Tahoma" w:cs="Tahoma"/>
                <w:sz w:val="24"/>
                <w:szCs w:val="24"/>
                <w:lang w:val="en-US" w:eastAsia="zh-CN"/>
              </w:rPr>
            </w:pPr>
            <w:r>
              <w:rPr>
                <w:rFonts w:hint="eastAsia" w:ascii="Tahoma" w:hAnsi="Tahoma" w:cs="Tahoma"/>
                <w:sz w:val="24"/>
                <w:szCs w:val="24"/>
                <w:lang w:val="en-US" w:eastAsia="zh-CN"/>
              </w:rPr>
              <w:t>350×3+1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10320" w:type="dxa"/>
            <w:gridSpan w:val="3"/>
            <w:vAlign w:val="center"/>
          </w:tcPr>
          <w:p>
            <w:pPr>
              <w:pStyle w:val="11"/>
              <w:spacing w:line="360" w:lineRule="auto"/>
              <w:jc w:val="center"/>
              <w:rPr>
                <w:b/>
                <w:bCs/>
                <w:color w:val="000000"/>
                <w:sz w:val="22"/>
                <w:szCs w:val="22"/>
              </w:rPr>
            </w:pPr>
            <w:r>
              <w:rPr>
                <w:rFonts w:hint="eastAsia"/>
                <w:b/>
                <w:bCs/>
                <w:color w:val="000000"/>
                <w:sz w:val="22"/>
                <w:szCs w:val="22"/>
              </w:rPr>
              <w:t>配套电控规范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center"/>
          </w:tcPr>
          <w:p>
            <w:pPr>
              <w:pStyle w:val="11"/>
              <w:spacing w:line="360" w:lineRule="auto"/>
              <w:jc w:val="center"/>
              <w:rPr>
                <w:rFonts w:ascii="Tahoma" w:hAnsi="Tahoma" w:cs="Tahoma"/>
                <w:color w:val="000000"/>
                <w:sz w:val="22"/>
                <w:szCs w:val="22"/>
              </w:rPr>
            </w:pPr>
            <w:r>
              <w:rPr>
                <w:rFonts w:hint="eastAsia" w:ascii="Tahoma" w:hAnsi="Tahoma" w:cs="Tahoma"/>
                <w:color w:val="000000"/>
                <w:sz w:val="22"/>
                <w:szCs w:val="22"/>
              </w:rPr>
              <w:t>型号</w:t>
            </w:r>
          </w:p>
        </w:tc>
        <w:tc>
          <w:tcPr>
            <w:tcW w:w="5192" w:type="dxa"/>
            <w:tcBorders>
              <w:left w:val="single" w:color="auto" w:sz="4" w:space="0"/>
            </w:tcBorders>
            <w:vAlign w:val="center"/>
          </w:tcPr>
          <w:p>
            <w:pPr>
              <w:pStyle w:val="11"/>
              <w:spacing w:line="360" w:lineRule="auto"/>
              <w:jc w:val="center"/>
              <w:rPr>
                <w:rFonts w:hint="default" w:ascii="Tahoma" w:hAnsi="Tahoma" w:eastAsia="宋体" w:cs="Tahoma"/>
                <w:color w:val="000000"/>
                <w:sz w:val="22"/>
                <w:szCs w:val="22"/>
                <w:lang w:val="en-US" w:eastAsia="zh-CN"/>
              </w:rPr>
            </w:pPr>
            <w:r>
              <w:rPr>
                <w:rFonts w:hint="eastAsia" w:ascii="Tahoma" w:hAnsi="Tahoma" w:cs="Tahoma"/>
                <w:color w:val="000000"/>
                <w:sz w:val="22"/>
                <w:szCs w:val="22"/>
              </w:rPr>
              <w:t>HXDK-</w:t>
            </w:r>
            <w:r>
              <w:rPr>
                <w:rFonts w:hint="eastAsia" w:ascii="Tahoma" w:hAnsi="Tahoma" w:cs="Tahoma"/>
                <w:color w:val="000000"/>
                <w:sz w:val="22"/>
                <w:szCs w:val="22"/>
                <w:lang w:val="en-US" w:eastAsia="zh-CN"/>
              </w:rPr>
              <w:t>700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center"/>
          </w:tcPr>
          <w:p>
            <w:pPr>
              <w:pStyle w:val="11"/>
              <w:spacing w:line="360" w:lineRule="auto"/>
              <w:jc w:val="center"/>
              <w:rPr>
                <w:rFonts w:ascii="Tahoma" w:hAnsi="Tahoma" w:cs="Tahoma"/>
                <w:color w:val="000000"/>
                <w:sz w:val="22"/>
                <w:szCs w:val="22"/>
              </w:rPr>
            </w:pPr>
            <w:r>
              <w:rPr>
                <w:rFonts w:hint="eastAsia" w:ascii="Tahoma" w:hAnsi="Tahoma" w:cs="Tahoma"/>
                <w:color w:val="000000"/>
                <w:sz w:val="22"/>
                <w:szCs w:val="22"/>
              </w:rPr>
              <w:t>控制范围</w:t>
            </w:r>
          </w:p>
        </w:tc>
        <w:tc>
          <w:tcPr>
            <w:tcW w:w="5192" w:type="dxa"/>
            <w:tcBorders>
              <w:left w:val="single" w:color="auto" w:sz="4" w:space="0"/>
            </w:tcBorders>
            <w:vAlign w:val="center"/>
          </w:tcPr>
          <w:p>
            <w:pPr>
              <w:pStyle w:val="11"/>
              <w:spacing w:line="360" w:lineRule="auto"/>
              <w:jc w:val="center"/>
              <w:rPr>
                <w:rFonts w:hint="default" w:eastAsia="宋体"/>
                <w:sz w:val="28"/>
                <w:szCs w:val="28"/>
                <w:lang w:val="en-US" w:eastAsia="zh-CN"/>
              </w:rPr>
            </w:pPr>
            <w:r>
              <w:rPr>
                <w:rFonts w:hint="eastAsia" w:ascii="Tahoma" w:hAnsi="Tahoma" w:cs="Tahoma"/>
                <w:color w:val="000000"/>
                <w:sz w:val="22"/>
                <w:szCs w:val="22"/>
                <w:lang w:val="en-US" w:eastAsia="zh-CN"/>
              </w:rPr>
              <w:t>280/</w:t>
            </w:r>
            <w:r>
              <w:rPr>
                <w:rFonts w:hint="eastAsia" w:ascii="Tahoma" w:hAnsi="Tahoma" w:cs="Tahoma"/>
                <w:color w:val="000000"/>
                <w:sz w:val="22"/>
                <w:szCs w:val="22"/>
              </w:rPr>
              <w:t>320</w:t>
            </w:r>
            <w:r>
              <w:rPr>
                <w:rFonts w:ascii="Tahoma" w:hAnsi="Tahoma" w:eastAsia="Tahoma" w:cs="Tahoma"/>
                <w:color w:val="000000"/>
                <w:sz w:val="24"/>
                <w:szCs w:val="24"/>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6" w:hRule="atLeast"/>
          <w:jc w:val="center"/>
        </w:trPr>
        <w:tc>
          <w:tcPr>
            <w:tcW w:w="5128" w:type="dxa"/>
            <w:gridSpan w:val="2"/>
            <w:tcBorders>
              <w:right w:val="single" w:color="auto" w:sz="4" w:space="0"/>
            </w:tcBorders>
            <w:vAlign w:val="center"/>
          </w:tcPr>
          <w:p>
            <w:pPr>
              <w:pStyle w:val="11"/>
              <w:spacing w:line="360" w:lineRule="auto"/>
              <w:jc w:val="center"/>
              <w:rPr>
                <w:rFonts w:ascii="Tahoma" w:hAnsi="Tahoma" w:cs="Tahoma"/>
                <w:color w:val="000000"/>
                <w:sz w:val="22"/>
                <w:szCs w:val="22"/>
              </w:rPr>
            </w:pPr>
            <w:r>
              <w:rPr>
                <w:rFonts w:hint="eastAsia" w:ascii="Tahoma" w:hAnsi="Tahoma" w:cs="Tahoma"/>
                <w:color w:val="000000"/>
                <w:sz w:val="22"/>
                <w:szCs w:val="22"/>
              </w:rPr>
              <w:t>本体结构</w:t>
            </w:r>
          </w:p>
        </w:tc>
        <w:tc>
          <w:tcPr>
            <w:tcW w:w="5192" w:type="dxa"/>
            <w:tcBorders>
              <w:left w:val="single" w:color="auto" w:sz="4" w:space="0"/>
            </w:tcBorders>
            <w:vAlign w:val="center"/>
          </w:tcPr>
          <w:p>
            <w:pPr>
              <w:pStyle w:val="11"/>
              <w:spacing w:line="360" w:lineRule="auto"/>
              <w:jc w:val="center"/>
              <w:rPr>
                <w:rFonts w:hint="default" w:eastAsia="宋体"/>
                <w:sz w:val="28"/>
                <w:szCs w:val="28"/>
                <w:lang w:val="en-US" w:eastAsia="zh-CN"/>
              </w:rPr>
            </w:pPr>
            <w:r>
              <w:rPr>
                <w:rFonts w:hint="eastAsia" w:ascii="Tahoma" w:hAnsi="Tahoma" w:cs="Tahoma"/>
                <w:color w:val="000000"/>
                <w:sz w:val="22"/>
                <w:szCs w:val="22"/>
              </w:rPr>
              <w:t>箱式</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6" w:hRule="atLeast"/>
          <w:jc w:val="center"/>
        </w:trPr>
        <w:tc>
          <w:tcPr>
            <w:tcW w:w="5128" w:type="dxa"/>
            <w:gridSpan w:val="2"/>
            <w:tcBorders>
              <w:right w:val="single" w:color="auto" w:sz="4" w:space="0"/>
            </w:tcBorders>
            <w:vAlign w:val="center"/>
          </w:tcPr>
          <w:p>
            <w:pPr>
              <w:pStyle w:val="11"/>
              <w:spacing w:line="360" w:lineRule="auto"/>
              <w:jc w:val="center"/>
              <w:rPr>
                <w:rFonts w:ascii="Tahoma" w:hAnsi="Tahoma" w:cs="Tahoma"/>
                <w:color w:val="000000"/>
                <w:sz w:val="22"/>
                <w:szCs w:val="22"/>
              </w:rPr>
            </w:pPr>
            <w:r>
              <w:rPr>
                <w:rFonts w:hint="eastAsia" w:ascii="Tahoma" w:hAnsi="Tahoma" w:cs="Tahoma"/>
                <w:color w:val="000000"/>
                <w:sz w:val="22"/>
                <w:szCs w:val="22"/>
              </w:rPr>
              <w:t>固定方式</w:t>
            </w:r>
          </w:p>
        </w:tc>
        <w:tc>
          <w:tcPr>
            <w:tcW w:w="5192" w:type="dxa"/>
            <w:tcBorders>
              <w:left w:val="single" w:color="auto" w:sz="4" w:space="0"/>
            </w:tcBorders>
            <w:vAlign w:val="center"/>
          </w:tcPr>
          <w:p>
            <w:pPr>
              <w:pStyle w:val="11"/>
              <w:spacing w:line="360" w:lineRule="auto"/>
              <w:jc w:val="center"/>
              <w:rPr>
                <w:rFonts w:ascii="Tahoma" w:hAnsi="Tahoma" w:cs="Tahoma"/>
                <w:color w:val="000000"/>
                <w:sz w:val="22"/>
                <w:szCs w:val="22"/>
              </w:rPr>
            </w:pPr>
            <w:r>
              <w:rPr>
                <w:rFonts w:hint="eastAsia" w:ascii="Tahoma" w:hAnsi="Tahoma" w:cs="Tahoma"/>
                <w:color w:val="000000"/>
                <w:sz w:val="22"/>
                <w:szCs w:val="22"/>
              </w:rPr>
              <w:t>挂式</w:t>
            </w:r>
          </w:p>
        </w:tc>
      </w:tr>
    </w:tbl>
    <w:p>
      <w:pPr>
        <w:pStyle w:val="3"/>
        <w:jc w:val="left"/>
      </w:pPr>
      <w:bookmarkStart w:id="4" w:name="_Toc24869"/>
      <w: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rPr>
        <w:t>三、公司简介：</w:t>
      </w:r>
      <w:bookmarkEnd w:id="3"/>
      <w:bookmarkEnd w:id="4"/>
    </w:p>
    <w:p>
      <w:pPr>
        <w:pStyle w:val="15"/>
        <w:ind w:firstLine="42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5" w:name="_Toc19257"/>
      <w:bookmarkStart w:id="6" w:name="_Toc25758"/>
      <w:r>
        <w:rPr>
          <w:rFonts w:hint="eastAsia"/>
        </w:rPr>
        <w:t>四、</w:t>
      </w:r>
      <w:bookmarkEnd w:id="5"/>
      <w:bookmarkEnd w:id="6"/>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r>
        <w:rPr>
          <w:rFonts w:hint="eastAsia" w:ascii="微软雅黑" w:hAnsi="微软雅黑" w:eastAsia="微软雅黑" w:cs="Arial"/>
          <w:b/>
          <w:color w:val="333333"/>
          <w:sz w:val="30"/>
          <w:szCs w:val="30"/>
          <w:lang w:eastAsia="zh-CN"/>
        </w:rPr>
        <w:drawing>
          <wp:anchor distT="0" distB="0" distL="114300" distR="114300" simplePos="0" relativeHeight="251686912" behindDoc="0" locked="0" layoutInCell="1" allowOverlap="1">
            <wp:simplePos x="0" y="0"/>
            <wp:positionH relativeFrom="column">
              <wp:posOffset>3086100</wp:posOffset>
            </wp:positionH>
            <wp:positionV relativeFrom="paragraph">
              <wp:posOffset>4418330</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5"/>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7936" behindDoc="0" locked="0" layoutInCell="1" allowOverlap="1">
            <wp:simplePos x="0" y="0"/>
            <wp:positionH relativeFrom="column">
              <wp:posOffset>-226695</wp:posOffset>
            </wp:positionH>
            <wp:positionV relativeFrom="paragraph">
              <wp:posOffset>4375785</wp:posOffset>
            </wp:positionV>
            <wp:extent cx="3150235" cy="4495165"/>
            <wp:effectExtent l="0" t="0" r="12065" b="635"/>
            <wp:wrapNone/>
            <wp:docPr id="6" name="图片 6"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最新职业健康安全管理体系认证"/>
                    <pic:cNvPicPr>
                      <a:picLocks noChangeAspect="1"/>
                    </pic:cNvPicPr>
                  </pic:nvPicPr>
                  <pic:blipFill>
                    <a:blip r:embed="rId16"/>
                    <a:stretch>
                      <a:fillRect/>
                    </a:stretch>
                  </pic:blipFill>
                  <pic:spPr>
                    <a:xfrm>
                      <a:off x="0" y="0"/>
                      <a:ext cx="3150235" cy="449516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8960" behindDoc="0" locked="0" layoutInCell="1" allowOverlap="1">
            <wp:simplePos x="0" y="0"/>
            <wp:positionH relativeFrom="column">
              <wp:posOffset>1473835</wp:posOffset>
            </wp:positionH>
            <wp:positionV relativeFrom="paragraph">
              <wp:posOffset>68580</wp:posOffset>
            </wp:positionV>
            <wp:extent cx="2985770" cy="4262120"/>
            <wp:effectExtent l="0" t="0" r="5080" b="5080"/>
            <wp:wrapNone/>
            <wp:docPr id="3" name="图片 3"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新质量管理体系认证"/>
                    <pic:cNvPicPr>
                      <a:picLocks noChangeAspect="1"/>
                    </pic:cNvPicPr>
                  </pic:nvPicPr>
                  <pic:blipFill>
                    <a:blip r:embed="rId17"/>
                    <a:stretch>
                      <a:fillRect/>
                    </a:stretch>
                  </pic:blipFill>
                  <pic:spPr>
                    <a:xfrm>
                      <a:off x="0" y="0"/>
                      <a:ext cx="2985770" cy="4262120"/>
                    </a:xfrm>
                    <a:prstGeom prst="rect">
                      <a:avLst/>
                    </a:prstGeom>
                  </pic:spPr>
                </pic:pic>
              </a:graphicData>
            </a:graphic>
          </wp:anchor>
        </w:drawing>
      </w:r>
      <w:r>
        <w:rPr>
          <w:rFonts w:ascii="微软雅黑" w:hAnsi="微软雅黑" w:eastAsia="微软雅黑" w:cs="Arial"/>
          <w:b/>
          <w:color w:val="333333"/>
          <w:sz w:val="30"/>
          <w:szCs w:val="30"/>
        </w:rPr>
        <w:br w:type="page"/>
      </w:r>
    </w:p>
    <w:p>
      <w:pPr>
        <w:widowControl/>
        <w:jc w:val="center"/>
        <w:rPr>
          <w:rFonts w:hint="eastAsia" w:eastAsia="宋体"/>
          <w:b/>
          <w:bCs/>
          <w:spacing w:val="24"/>
          <w:sz w:val="36"/>
          <w:szCs w:val="36"/>
          <w:u w:val="single"/>
          <w:lang w:eastAsia="zh-CN"/>
        </w:rPr>
      </w:pPr>
      <w:r>
        <w:rPr>
          <w:rFonts w:hint="eastAsia" w:eastAsia="宋体"/>
          <w:b/>
          <w:bCs/>
          <w:spacing w:val="24"/>
          <w:sz w:val="36"/>
          <w:szCs w:val="36"/>
          <w:u w:val="single"/>
          <w:lang w:eastAsia="zh-CN"/>
        </w:rPr>
        <w:drawing>
          <wp:inline distT="0" distB="0" distL="114300" distR="114300">
            <wp:extent cx="5299710" cy="3975100"/>
            <wp:effectExtent l="0" t="0" r="15240" b="6350"/>
            <wp:docPr id="1" name="图片 1" descr="f2294e11e6726d4f14037dcbb6fa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294e11e6726d4f14037dcbb6fa1b1"/>
                    <pic:cNvPicPr>
                      <a:picLocks noChangeAspect="1"/>
                    </pic:cNvPicPr>
                  </pic:nvPicPr>
                  <pic:blipFill>
                    <a:blip r:embed="rId18"/>
                    <a:stretch>
                      <a:fillRect/>
                    </a:stretch>
                  </pic:blipFill>
                  <pic:spPr>
                    <a:xfrm>
                      <a:off x="0" y="0"/>
                      <a:ext cx="5299710" cy="3975100"/>
                    </a:xfrm>
                    <a:prstGeom prst="rect">
                      <a:avLst/>
                    </a:prstGeom>
                  </pic:spPr>
                </pic:pic>
              </a:graphicData>
            </a:graphic>
          </wp:inline>
        </w:drawing>
      </w:r>
    </w:p>
    <w:p>
      <w:pPr>
        <w:widowControl/>
        <w:jc w:val="center"/>
        <w:rPr>
          <w:rFonts w:hint="eastAsia" w:eastAsia="宋体"/>
          <w:b/>
          <w:bCs/>
          <w:spacing w:val="24"/>
          <w:sz w:val="36"/>
          <w:szCs w:val="36"/>
          <w:u w:val="single"/>
          <w:lang w:eastAsia="zh-CN"/>
        </w:rPr>
      </w:pPr>
      <w:r>
        <w:rPr>
          <w:rFonts w:hint="eastAsia" w:eastAsia="宋体"/>
          <w:b/>
          <w:bCs/>
          <w:spacing w:val="24"/>
          <w:sz w:val="36"/>
          <w:szCs w:val="36"/>
          <w:u w:val="single"/>
          <w:lang w:eastAsia="zh-CN"/>
        </w:rPr>
        <w:drawing>
          <wp:inline distT="0" distB="0" distL="114300" distR="114300">
            <wp:extent cx="5411470" cy="4058920"/>
            <wp:effectExtent l="0" t="0" r="17780" b="17780"/>
            <wp:docPr id="2" name="图片 2" descr="eb4e0096e1989b3b12195dc29fbd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b4e0096e1989b3b12195dc29fbd3b7"/>
                    <pic:cNvPicPr>
                      <a:picLocks noChangeAspect="1"/>
                    </pic:cNvPicPr>
                  </pic:nvPicPr>
                  <pic:blipFill>
                    <a:blip r:embed="rId19"/>
                    <a:stretch>
                      <a:fillRect/>
                    </a:stretch>
                  </pic:blipFill>
                  <pic:spPr>
                    <a:xfrm>
                      <a:off x="0" y="0"/>
                      <a:ext cx="5411470" cy="4058920"/>
                    </a:xfrm>
                    <a:prstGeom prst="rect">
                      <a:avLst/>
                    </a:prstGeom>
                  </pic:spPr>
                </pic:pic>
              </a:graphicData>
            </a:graphic>
          </wp:inline>
        </w:drawing>
      </w:r>
    </w:p>
    <w:p>
      <w:pPr>
        <w:widowControl/>
        <w:jc w:val="both"/>
        <w:rPr>
          <w:rFonts w:hint="eastAsia" w:eastAsia="宋体"/>
          <w:lang w:eastAsia="zh-CN"/>
        </w:rPr>
      </w:pPr>
    </w:p>
    <w:p>
      <w:pPr>
        <w:widowControl/>
        <w:jc w:val="both"/>
        <w:rPr>
          <w:rFonts w:hint="eastAsia" w:eastAsia="宋体"/>
          <w:lang w:eastAsia="zh-CN"/>
        </w:rPr>
      </w:pPr>
    </w:p>
    <w:p>
      <w:pPr>
        <w:pStyle w:val="3"/>
        <w:numPr>
          <w:ilvl w:val="0"/>
          <w:numId w:val="1"/>
        </w:numPr>
        <w:jc w:val="left"/>
        <w:outlineLvl w:val="0"/>
      </w:pPr>
      <w:bookmarkStart w:id="46" w:name="_GoBack"/>
      <w:bookmarkEnd w:id="46"/>
      <w:bookmarkStart w:id="7" w:name="_Toc24393"/>
      <w:r>
        <w:rPr>
          <w:rFonts w:hint="eastAsia"/>
        </w:rPr>
        <w:t>设备简介及特点</w:t>
      </w:r>
      <w:bookmarkEnd w:id="7"/>
    </w:p>
    <w:p>
      <w:pPr>
        <w:pStyle w:val="5"/>
        <w:bidi w:val="0"/>
        <w:outlineLvl w:val="1"/>
      </w:pPr>
      <w:bookmarkStart w:id="8" w:name="_Toc24291"/>
      <w:r>
        <w:rPr>
          <w:rFonts w:hint="eastAsia"/>
        </w:rPr>
        <w:t>一、概述</w:t>
      </w:r>
      <w:bookmarkEnd w:id="8"/>
    </w:p>
    <w:p>
      <w:pPr>
        <w:spacing w:line="360" w:lineRule="auto"/>
        <w:ind w:firstLine="480" w:firstLineChars="200"/>
        <w:rPr>
          <w:rFonts w:ascii="Times New Roman" w:hAnsi="Times New Roman"/>
          <w:sz w:val="24"/>
        </w:rPr>
      </w:pPr>
      <w:r>
        <w:rPr>
          <w:rFonts w:hint="eastAsia" w:ascii="宋体" w:hAnsi="宋体" w:cs="宋体"/>
          <w:sz w:val="24"/>
        </w:rPr>
        <w:t>有机热载体炉（简称加热炉）是一种新型的供热设备，以</w:t>
      </w:r>
      <w:r>
        <w:rPr>
          <w:rFonts w:hint="eastAsia" w:ascii="宋体" w:hAnsi="宋体" w:cs="宋体"/>
          <w:sz w:val="24"/>
          <w:lang w:val="en-US" w:eastAsia="zh-CN"/>
        </w:rPr>
        <w:t>电</w:t>
      </w:r>
      <w:r>
        <w:rPr>
          <w:rFonts w:hint="eastAsia" w:ascii="宋体" w:hAnsi="宋体" w:cs="宋体"/>
          <w:sz w:val="24"/>
        </w:rPr>
        <w:t>为燃料及烟道气为热源，以导热油为热载体通过循环油泵强制热载体液相循环，将热量输送给用热设备后，再返回加热炉重新加热的高温、低压、节能设备，供热温度可高达</w:t>
      </w:r>
      <w:r>
        <w:rPr>
          <w:rFonts w:ascii="Times New Roman" w:hAnsi="Times New Roman"/>
          <w:sz w:val="24"/>
        </w:rPr>
        <w:t>340</w:t>
      </w:r>
      <w:r>
        <w:rPr>
          <w:rFonts w:hint="eastAsia" w:ascii="宋体" w:hAnsi="宋体" w:cs="宋体"/>
          <w:sz w:val="24"/>
        </w:rPr>
        <w:t>℃，而一般在工作压力</w:t>
      </w:r>
      <w:r>
        <w:rPr>
          <w:rFonts w:ascii="Times New Roman" w:hAnsi="Times New Roman"/>
          <w:sz w:val="24"/>
        </w:rPr>
        <w:t>1.0MP</w:t>
      </w:r>
      <w:r>
        <w:rPr>
          <w:rFonts w:ascii="Times New Roman" w:hAnsi="Times New Roman"/>
          <w:sz w:val="24"/>
          <w:vertAlign w:val="subscript"/>
        </w:rPr>
        <w:t>a</w:t>
      </w:r>
      <w:r>
        <w:rPr>
          <w:rFonts w:hint="eastAsia" w:ascii="宋体" w:hAnsi="宋体" w:cs="宋体"/>
          <w:sz w:val="24"/>
        </w:rPr>
        <w:t>以下，因为工作在液相状态，安全可靠。</w:t>
      </w:r>
    </w:p>
    <w:p>
      <w:pPr>
        <w:spacing w:line="360" w:lineRule="auto"/>
        <w:jc w:val="left"/>
        <w:textAlignment w:val="baseline"/>
        <w:rPr>
          <w:rFonts w:ascii="宋体" w:hAnsi="宋体" w:cs="宋体"/>
          <w:spacing w:val="20"/>
          <w:kern w:val="10"/>
          <w:sz w:val="24"/>
        </w:rPr>
      </w:pPr>
      <w:r>
        <w:rPr>
          <w:rFonts w:ascii="Times New Roman" w:hAnsi="Times New Roman"/>
          <w:sz w:val="24"/>
        </w:rPr>
        <w:t xml:space="preserve">  </w:t>
      </w:r>
      <w:r>
        <w:rPr>
          <w:rFonts w:hint="eastAsia" w:ascii="Times New Roman" w:hAnsi="Times New Roman"/>
          <w:sz w:val="24"/>
          <w:lang w:val="en-US" w:eastAsia="zh-CN"/>
        </w:rPr>
        <w:t xml:space="preserve">  </w:t>
      </w:r>
      <w:r>
        <w:rPr>
          <w:rFonts w:hint="eastAsia" w:ascii="宋体" w:hAnsi="宋体" w:cs="宋体"/>
          <w:sz w:val="24"/>
        </w:rPr>
        <w:t>锅炉的安装使用应符合</w:t>
      </w:r>
      <w:r>
        <w:rPr>
          <w:rFonts w:hint="eastAsia" w:ascii="宋体" w:hAnsi="宋体" w:cs="宋体"/>
          <w:spacing w:val="20"/>
          <w:kern w:val="10"/>
          <w:sz w:val="24"/>
        </w:rPr>
        <w:t>TSG G0001-2012《锅炉安全技术监察规程》</w:t>
      </w:r>
      <w:r>
        <w:rPr>
          <w:rFonts w:hint="eastAsia" w:ascii="宋体" w:hAnsi="宋体" w:cs="宋体"/>
          <w:sz w:val="24"/>
        </w:rPr>
        <w:t>、</w:t>
      </w:r>
      <w:r>
        <w:rPr>
          <w:rFonts w:hint="eastAsia" w:ascii="宋体" w:hAnsi="宋体" w:cs="宋体"/>
          <w:spacing w:val="20"/>
          <w:kern w:val="10"/>
          <w:sz w:val="24"/>
        </w:rPr>
        <w:t>GB/T17410-2008《有机热载体炉》、GB50273-2009《锅炉安装工程施工及验收规范》、GB13271-2014《锅炉大气污染物排放标准》、TSG G0002-2010《锅炉节能技术监督管理规程》的要求。锅炉及系统内液相有机热载体总注入量大于5m³时，应按照TSG G0001-2012《锅炉安全技术监察规程》11.3.6.2～11.4.2的要求装设安全保护装置。</w:t>
      </w:r>
    </w:p>
    <w:p>
      <w:pPr>
        <w:spacing w:line="360" w:lineRule="auto"/>
        <w:ind w:firstLine="560" w:firstLineChars="200"/>
        <w:jc w:val="left"/>
        <w:textAlignment w:val="baseline"/>
        <w:rPr>
          <w:rFonts w:ascii="宋体" w:hAnsi="宋体" w:cs="宋体"/>
          <w:spacing w:val="20"/>
          <w:kern w:val="10"/>
          <w:sz w:val="24"/>
        </w:rPr>
      </w:pPr>
      <w:r>
        <w:rPr>
          <w:rFonts w:hint="eastAsia" w:ascii="宋体" w:hAnsi="宋体" w:cs="宋体"/>
          <w:spacing w:val="20"/>
          <w:kern w:val="10"/>
          <w:sz w:val="24"/>
        </w:rPr>
        <w:t>锅炉房系统设计时，应当在保证安全性能的前提下，充分提高能源利用效率，减少水、电、自用热以及其它消耗，促进热能回收和梯级利用。锅炉房设备布置时应当尽量减少管道、烟风道的长度及其弯头数量，以减少流动阻力。锅炉炉墙、烟风道、各种热力设备、热力管道以及阀门应当具有良好的密封和保温性能，当周围环境温度为25℃时，距门（孔）</w:t>
      </w:r>
      <w:r>
        <w:rPr>
          <w:rFonts w:hint="eastAsia" w:ascii="宋体" w:hAnsi="宋体" w:cs="宋体"/>
          <w:spacing w:val="20"/>
          <w:kern w:val="10"/>
          <w:sz w:val="24"/>
          <w:lang w:eastAsia="zh-CN"/>
        </w:rPr>
        <w:t>500</w:t>
      </w:r>
      <w:r>
        <w:rPr>
          <w:rFonts w:hint="eastAsia" w:ascii="宋体" w:hAnsi="宋体" w:cs="宋体"/>
          <w:spacing w:val="20"/>
          <w:kern w:val="10"/>
          <w:sz w:val="24"/>
        </w:rPr>
        <w:t>mm以外的炉体外表面温度不得超过50℃，炉顶不得超过70℃，各种热力设备、热力管道以及阀门表面温度不得超过50℃。锅炉介质参数的选取应当满足使用要求，不应当使锅炉的额定出口压力和温度与使用的压力和温度相差过大。</w:t>
      </w:r>
    </w:p>
    <w:p>
      <w:pPr>
        <w:spacing w:line="360" w:lineRule="auto"/>
        <w:jc w:val="left"/>
        <w:textAlignment w:val="baseline"/>
        <w:rPr>
          <w:rFonts w:ascii="宋体" w:hAnsi="宋体" w:cs="宋体"/>
          <w:spacing w:val="20"/>
          <w:kern w:val="10"/>
          <w:sz w:val="24"/>
        </w:rPr>
      </w:pPr>
    </w:p>
    <w:p>
      <w:pPr>
        <w:pStyle w:val="5"/>
        <w:bidi w:val="0"/>
        <w:outlineLvl w:val="1"/>
      </w:pPr>
      <w:bookmarkStart w:id="9" w:name="_Toc21672"/>
      <w:r>
        <w:rPr>
          <w:rFonts w:hint="eastAsia"/>
        </w:rPr>
        <w:t>二、产品特性及规格</w:t>
      </w:r>
      <w:bookmarkEnd w:id="9"/>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宋体" w:hAnsi="宋体" w:cs="宋体"/>
          <w:sz w:val="24"/>
        </w:rPr>
        <w:t>、结构合理，技术先进，占地面积少，外形体积小，外形美观，管理简便，热效率高，具有显著的节能效果和经济效益，与国外同类产品相比，结构有独特之处。炉型有立式、卧式。</w:t>
      </w:r>
    </w:p>
    <w:p>
      <w:pPr>
        <w:spacing w:line="360" w:lineRule="auto"/>
        <w:ind w:firstLine="460" w:firstLineChars="192"/>
        <w:rPr>
          <w:rFonts w:ascii="Times New Roman" w:hAnsi="Times New Roman"/>
          <w:sz w:val="24"/>
        </w:rPr>
      </w:pPr>
      <w:r>
        <w:rPr>
          <w:rFonts w:ascii="Times New Roman" w:hAnsi="Times New Roman"/>
          <w:sz w:val="24"/>
        </w:rPr>
        <w:t>2</w:t>
      </w:r>
      <w:r>
        <w:rPr>
          <w:rFonts w:hint="eastAsia" w:ascii="宋体" w:hAnsi="宋体" w:cs="宋体"/>
          <w:sz w:val="24"/>
        </w:rPr>
        <w:t>、受热面布置合理，导热油使用寿命长。烟气排放符合国家环境保护标准</w:t>
      </w:r>
      <w:r>
        <w:rPr>
          <w:rFonts w:ascii="Times New Roman" w:hAnsi="Times New Roman"/>
          <w:sz w:val="24"/>
        </w:rPr>
        <w:t>GB13271-20</w:t>
      </w:r>
      <w:r>
        <w:rPr>
          <w:rFonts w:hint="eastAsia" w:ascii="宋体" w:hAnsi="宋体" w:cs="宋体"/>
          <w:sz w:val="24"/>
        </w:rPr>
        <w:t>14《锅炉大气污染排放标准》的要求。</w:t>
      </w:r>
    </w:p>
    <w:p>
      <w:pPr>
        <w:spacing w:line="360" w:lineRule="auto"/>
        <w:ind w:firstLine="460" w:firstLineChars="192"/>
        <w:rPr>
          <w:rFonts w:ascii="宋体" w:hAnsi="宋体" w:cs="宋体"/>
          <w:sz w:val="24"/>
        </w:rPr>
      </w:pPr>
      <w:r>
        <w:rPr>
          <w:rFonts w:ascii="Times New Roman" w:hAnsi="Times New Roman"/>
          <w:sz w:val="24"/>
        </w:rPr>
        <w:t>3</w:t>
      </w:r>
      <w:r>
        <w:rPr>
          <w:rFonts w:hint="eastAsia" w:ascii="宋体" w:hAnsi="宋体" w:cs="宋体"/>
          <w:sz w:val="24"/>
        </w:rPr>
        <w:t>、温度调节精确可靠，配有完整的运行控制和安全监测装置，自动化程度高，工人劳动强度低；具有出口油温超温报警、压差报警功能；若锅炉系统有机热载体总注入量＞5m³时，还具有出口油压超压、低压、低流量报警，膨胀罐高、低液位报警，排烟温度超温报警，以及相应联锁等功能；（系统正常运行期间，司炉工应定期手动检验各安全报警装置，且锅炉正常运行时不得退出使用）</w:t>
      </w:r>
    </w:p>
    <w:p>
      <w:pPr>
        <w:spacing w:line="360" w:lineRule="auto"/>
        <w:ind w:firstLine="460" w:firstLineChars="192"/>
        <w:rPr>
          <w:rFonts w:ascii="宋体" w:hAnsi="宋体" w:cs="宋体"/>
          <w:sz w:val="24"/>
        </w:rPr>
      </w:pPr>
    </w:p>
    <w:p>
      <w:pPr>
        <w:pStyle w:val="5"/>
        <w:bidi w:val="0"/>
        <w:outlineLvl w:val="1"/>
      </w:pPr>
      <w:bookmarkStart w:id="10" w:name="_Toc24013"/>
      <w:r>
        <w:t>三、结构特性</w:t>
      </w:r>
      <w:bookmarkEnd w:id="10"/>
    </w:p>
    <w:p>
      <w:pPr>
        <w:autoSpaceDE w:val="0"/>
        <w:autoSpaceDN w:val="0"/>
        <w:adjustRightInd w:val="0"/>
        <w:jc w:val="left"/>
        <w:rPr>
          <w:rFonts w:hint="eastAsia" w:ascii="宋体" w:hAnsi="宋体" w:eastAsia="宋体" w:cs="宋体"/>
          <w:color w:val="FF0000"/>
          <w:sz w:val="28"/>
          <w:szCs w:val="28"/>
        </w:rPr>
      </w:pPr>
      <w:r>
        <w:rPr>
          <w:rFonts w:hint="eastAsia" w:ascii="宋体" w:hAnsi="宋体" w:eastAsia="宋体" w:cs="宋体"/>
          <w:color w:val="000000"/>
          <w:kern w:val="0"/>
          <w:sz w:val="28"/>
          <w:szCs w:val="28"/>
        </w:rPr>
        <w:t xml:space="preserve"> 1、 烟气流向：</w:t>
      </w:r>
      <w:r>
        <w:rPr>
          <w:rFonts w:hint="eastAsia" w:ascii="宋体" w:hAnsi="宋体" w:eastAsia="宋体" w:cs="宋体"/>
          <w:color w:val="FF0000"/>
          <w:kern w:val="0"/>
          <w:sz w:val="28"/>
          <w:szCs w:val="28"/>
        </w:rPr>
        <w:t xml:space="preserve"> </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本台锅炉采用卧式结构，燃烧方式为室燃，燃料为轻油、天然气。烟气流程为：燃料在炉膛内燃烧，高温烟气通过内盘管吸热后。在内圈盘管出口进入内圈与外圈之间的通道内进行流动，形成第一回程。从内圈盘管与外圈盘管出口进入外圈与外筒体之间的通道内进行流动，形成第二回程。最后烟气经出口烟箱进入后部烟道，经过换热器后进入烟囱，最后经烟囱排入大气。</w:t>
      </w:r>
    </w:p>
    <w:p>
      <w:pPr>
        <w:autoSpaceDE w:val="0"/>
        <w:autoSpaceDN w:val="0"/>
        <w:adjustRightInd w:val="0"/>
        <w:ind w:left="720" w:hanging="560"/>
        <w:jc w:val="left"/>
        <w:rPr>
          <w:rFonts w:hint="eastAsia" w:ascii="宋体" w:hAnsi="宋体" w:eastAsia="宋体" w:cs="宋体"/>
          <w:color w:val="000000"/>
          <w:sz w:val="28"/>
          <w:szCs w:val="28"/>
        </w:rPr>
      </w:pPr>
      <w:r>
        <w:rPr>
          <w:rFonts w:hint="eastAsia" w:ascii="宋体" w:hAnsi="宋体" w:eastAsia="宋体" w:cs="宋体"/>
          <w:color w:val="000000"/>
          <w:kern w:val="0"/>
          <w:sz w:val="28"/>
          <w:szCs w:val="28"/>
        </w:rPr>
        <w:t>2、 结构特性与规格：</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1）炉体的受热面采用内、外盘管，管子尺寸为φ57×3，内、外圈并联一起；热载体从进口集箱进入出口集箱，然后流入使用系统。</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 xml:space="preserve">   2）内、外盘管采用φ57×3的管子制作，材料为20(GB/T3087-2008)。</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 xml:space="preserve">   3）温度计接口、压力计接口采用DN15的接口，接管接采用φ22X4。</w:t>
      </w:r>
    </w:p>
    <w:p>
      <w:pPr>
        <w:autoSpaceDE w:val="0"/>
        <w:autoSpaceDN w:val="0"/>
        <w:adjustRightInd w:val="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   4）锅炉主机为本体包装而成，内体为锅炉本体，外体为保温层。</w:t>
      </w:r>
    </w:p>
    <w:p>
      <w:pPr>
        <w:autoSpaceDE w:val="0"/>
        <w:autoSpaceDN w:val="0"/>
        <w:adjustRightInd w:val="0"/>
        <w:jc w:val="left"/>
        <w:rPr>
          <w:rFonts w:ascii="仿宋_GB2312" w:hAnsi="宋体" w:eastAsia="仿宋_GB2312" w:cs="仿宋_GB2312"/>
          <w:color w:val="000000"/>
          <w:kern w:val="0"/>
          <w:sz w:val="28"/>
          <w:szCs w:val="28"/>
        </w:rPr>
      </w:pPr>
    </w:p>
    <w:p>
      <w:pPr>
        <w:pStyle w:val="5"/>
        <w:bidi w:val="0"/>
        <w:outlineLvl w:val="1"/>
      </w:pPr>
      <w:bookmarkStart w:id="11" w:name="_Toc27251"/>
      <w:r>
        <w:t>四、 管子流速的确定</w:t>
      </w:r>
      <w:bookmarkEnd w:id="11"/>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《有机热载体炉》中推荐流速：</w:t>
      </w:r>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辐射段，V1＞2m/s；   对流段，V2＞1.5  m/s</w:t>
      </w:r>
    </w:p>
    <w:p>
      <w:pPr>
        <w:pStyle w:val="11"/>
        <w:widowControl w:val="0"/>
        <w:autoSpaceDE w:val="0"/>
        <w:spacing w:before="0" w:beforeAutospacing="0" w:after="0" w:afterAutospacing="0"/>
        <w:jc w:val="both"/>
        <w:rPr>
          <w:rFonts w:hint="eastAsia" w:ascii="宋体" w:hAnsi="宋体" w:eastAsia="宋体" w:cs="宋体"/>
          <w:sz w:val="24"/>
        </w:rPr>
      </w:pPr>
      <w:r>
        <w:rPr>
          <w:rFonts w:hint="eastAsia" w:ascii="宋体" w:hAnsi="宋体" w:eastAsia="宋体" w:cs="宋体"/>
          <w:color w:val="000000"/>
          <w:kern w:val="2"/>
          <w:sz w:val="28"/>
          <w:szCs w:val="28"/>
        </w:rPr>
        <w:t>计算结果： 内盘管为V1= 3.967m/s，外盘管为V2=3.702m/s。</w:t>
      </w:r>
    </w:p>
    <w:p>
      <w:pPr>
        <w:pStyle w:val="5"/>
        <w:bidi w:val="0"/>
        <w:outlineLvl w:val="1"/>
      </w:pPr>
      <w:bookmarkStart w:id="12" w:name="_Toc21999"/>
      <w:r>
        <w:rPr>
          <w:rFonts w:hint="eastAsia"/>
          <w:lang w:val="en-US" w:eastAsia="zh-CN"/>
        </w:rPr>
        <w:t>五</w:t>
      </w:r>
      <w:r>
        <w:rPr>
          <w:rFonts w:hint="eastAsia"/>
        </w:rPr>
        <w:t>、应用范围</w:t>
      </w:r>
      <w:bookmarkEnd w:id="12"/>
    </w:p>
    <w:p>
      <w:pPr>
        <w:spacing w:line="360" w:lineRule="auto"/>
        <w:ind w:firstLine="480" w:firstLineChars="200"/>
        <w:rPr>
          <w:rFonts w:ascii="Times New Roman" w:hAnsi="Times New Roman"/>
          <w:sz w:val="24"/>
        </w:rPr>
      </w:pPr>
      <w:r>
        <w:rPr>
          <w:rFonts w:hint="eastAsia" w:ascii="宋体" w:hAnsi="宋体" w:cs="宋体"/>
          <w:sz w:val="24"/>
        </w:rPr>
        <w:t>有机热载体炉具有供热温高度、工作压力低、节约能源的特点，可广泛应用于多种工业加热过程。代替电、蒸汽等加热，提高生产率。</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w:t>
      </w:r>
      <w:r>
        <w:rPr>
          <w:rFonts w:hint="eastAsia" w:ascii="宋体" w:hAnsi="宋体" w:cs="宋体"/>
          <w:sz w:val="24"/>
        </w:rPr>
        <w:t>）、石油化学工业：聚合、熔融、缩合、蒸馏、脱</w:t>
      </w:r>
      <w:r>
        <w:rPr>
          <w:rFonts w:ascii="Times New Roman" w:hAnsi="Times New Roman"/>
          <w:sz w:val="24"/>
        </w:rPr>
        <w:t>H</w:t>
      </w:r>
      <w:r>
        <w:rPr>
          <w:rFonts w:ascii="Times New Roman" w:hAnsi="Times New Roman"/>
          <w:sz w:val="24"/>
          <w:vertAlign w:val="subscript"/>
        </w:rPr>
        <w:t xml:space="preserve">2 </w:t>
      </w:r>
      <w:r>
        <w:rPr>
          <w:rFonts w:hint="eastAsia" w:ascii="宋体" w:hAnsi="宋体" w:cs="宋体"/>
          <w:sz w:val="24"/>
          <w:vertAlign w:val="subscript"/>
        </w:rPr>
        <w:t>、</w:t>
      </w:r>
      <w:r>
        <w:rPr>
          <w:rFonts w:hint="eastAsia" w:ascii="宋体" w:hAnsi="宋体" w:cs="宋体"/>
          <w:sz w:val="24"/>
        </w:rPr>
        <w:t>强制保温。</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）、油脂工业：脂肪酸蒸馏、油脂分解、浓缩、酯化、真空脱臭</w:t>
      </w:r>
      <w:r>
        <w:rPr>
          <w:rFonts w:ascii="Times New Roman" w:hAnsi="Times New Roman"/>
          <w:sz w:val="24"/>
        </w:rPr>
        <w:t xml:space="preserve"> </w:t>
      </w:r>
      <w:r>
        <w:rPr>
          <w:rFonts w:hint="eastAsia" w:ascii="宋体" w:hAnsi="宋体" w:cs="宋体"/>
          <w:sz w:val="24"/>
        </w:rPr>
        <w:t>。</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3</w:t>
      </w:r>
      <w:r>
        <w:rPr>
          <w:rFonts w:hint="eastAsia" w:ascii="宋体" w:hAnsi="宋体" w:cs="宋体"/>
          <w:sz w:val="24"/>
        </w:rPr>
        <w:t>）、合成纤维工业：聚合、熔融、纺丝、延伸、干燥。</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4</w:t>
      </w:r>
      <w:r>
        <w:rPr>
          <w:rFonts w:hint="eastAsia" w:ascii="宋体" w:hAnsi="宋体" w:cs="宋体"/>
          <w:sz w:val="24"/>
        </w:rPr>
        <w:t>）、纺织印染行业：热定型、热熔染色、焙烘、轧光、烘干、热风拉幅。</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5</w:t>
      </w:r>
      <w:r>
        <w:rPr>
          <w:rFonts w:hint="eastAsia" w:ascii="宋体" w:hAnsi="宋体" w:cs="宋体"/>
          <w:sz w:val="24"/>
        </w:rPr>
        <w:t>）、塑料及橡胶工业：热压、热延、挤压、硫化成型、轧光、喷射注机、胶浆搅拌机、传送带式烘干机。</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6</w:t>
      </w:r>
      <w:r>
        <w:rPr>
          <w:rFonts w:hint="eastAsia" w:ascii="宋体" w:hAnsi="宋体" w:cs="宋体"/>
          <w:sz w:val="24"/>
        </w:rPr>
        <w:t>）、造纸工业：干燥、波纹纸加工、轧光机、涂胶浆辊筒。</w:t>
      </w:r>
    </w:p>
    <w:p>
      <w:pPr>
        <w:spacing w:line="360" w:lineRule="auto"/>
        <w:ind w:firstLine="357" w:firstLineChars="149"/>
        <w:rPr>
          <w:rFonts w:ascii="Times New Roman" w:hAnsi="Times New Roman"/>
          <w:sz w:val="24"/>
        </w:rPr>
      </w:pPr>
      <w:r>
        <w:rPr>
          <w:rFonts w:hint="eastAsia" w:ascii="宋体" w:hAnsi="宋体" w:cs="宋体"/>
          <w:sz w:val="24"/>
        </w:rPr>
        <w:t>（</w:t>
      </w:r>
      <w:r>
        <w:rPr>
          <w:rFonts w:ascii="Times New Roman" w:hAnsi="Times New Roman"/>
          <w:sz w:val="24"/>
        </w:rPr>
        <w:t>7</w:t>
      </w:r>
      <w:r>
        <w:rPr>
          <w:rFonts w:hint="eastAsia" w:ascii="宋体" w:hAnsi="宋体" w:cs="宋体"/>
          <w:sz w:val="24"/>
        </w:rPr>
        <w:t>）、木材工业：多合板、密度板热压成型、木材干燥、汽蒸设备。</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8</w:t>
      </w:r>
      <w:r>
        <w:rPr>
          <w:rFonts w:hint="eastAsia" w:ascii="宋体" w:hAnsi="宋体" w:cs="宋体"/>
          <w:sz w:val="24"/>
        </w:rPr>
        <w:t>）、建材工业：石膏板烘干、沥青加热、沥青混凝土、乳化沥青、混凝土构件养护、干燥设备、油毡生产线。</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9</w:t>
      </w:r>
      <w:r>
        <w:rPr>
          <w:rFonts w:hint="eastAsia" w:ascii="宋体" w:hAnsi="宋体" w:cs="宋体"/>
          <w:sz w:val="24"/>
        </w:rPr>
        <w:t>）、机械工业：喷漆印花烘干、装配处理、清洗烘干。</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10</w:t>
      </w:r>
      <w:r>
        <w:rPr>
          <w:rFonts w:hint="eastAsia" w:ascii="宋体" w:hAnsi="宋体" w:cs="宋体"/>
          <w:sz w:val="24"/>
        </w:rPr>
        <w:t>）、食品工业：烘烤面包、烘干饼干、蒸煮锅、高压釜、传送带式烘干机。</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11</w:t>
      </w:r>
      <w:r>
        <w:rPr>
          <w:rFonts w:hint="eastAsia" w:ascii="宋体" w:hAnsi="宋体" w:cs="宋体"/>
          <w:sz w:val="24"/>
        </w:rPr>
        <w:t>）、空调工业：工业厂房及民用建筑采暖。</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12</w:t>
      </w:r>
      <w:r>
        <w:rPr>
          <w:rFonts w:hint="eastAsia" w:ascii="宋体" w:hAnsi="宋体" w:cs="宋体"/>
          <w:sz w:val="24"/>
        </w:rPr>
        <w:t>）、电器设备工业：轧光机、压板机、真空锅、烘干机。</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13</w:t>
      </w:r>
      <w:r>
        <w:rPr>
          <w:rFonts w:hint="eastAsia" w:ascii="宋体" w:hAnsi="宋体" w:cs="宋体"/>
          <w:sz w:val="24"/>
        </w:rPr>
        <w:t>）、炼焦工业：储气罐、混合站、分配站。</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14</w:t>
      </w:r>
      <w:r>
        <w:rPr>
          <w:rFonts w:hint="eastAsia" w:ascii="宋体" w:hAnsi="宋体" w:cs="宋体"/>
          <w:sz w:val="24"/>
        </w:rPr>
        <w:t>）、金属和铸造工业：脱脂池、磷酸盐处理设备、焙烘机（房）、砂芯烘干。</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15</w:t>
      </w:r>
      <w:r>
        <w:rPr>
          <w:rFonts w:hint="eastAsia" w:ascii="宋体" w:hAnsi="宋体" w:cs="宋体"/>
          <w:sz w:val="24"/>
        </w:rPr>
        <w:t>）、洗涤剂工业：蒸煮锅、高压釜、传送带式烘干机、脂肪分解设备、蒸馏塔。</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16</w:t>
      </w:r>
      <w:r>
        <w:rPr>
          <w:rFonts w:hint="eastAsia" w:ascii="宋体" w:hAnsi="宋体" w:cs="宋体"/>
          <w:sz w:val="24"/>
        </w:rPr>
        <w:t>）、脂肪和油漆工业：高压釜、干燥机、蒸馏罐、蒸煮设备。</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17</w:t>
      </w:r>
      <w:r>
        <w:rPr>
          <w:rFonts w:hint="eastAsia" w:ascii="宋体" w:hAnsi="宋体" w:cs="宋体"/>
          <w:sz w:val="24"/>
        </w:rPr>
        <w:t>）、汽车工业：遂道式烘房、脱脂浴池、磷酸盐处理设备。</w:t>
      </w:r>
    </w:p>
    <w:p>
      <w:pPr>
        <w:spacing w:line="360" w:lineRule="auto"/>
        <w:ind w:firstLine="360" w:firstLineChars="150"/>
        <w:rPr>
          <w:rFonts w:hint="eastAsia" w:ascii="宋体" w:hAnsi="宋体" w:cs="宋体"/>
          <w:sz w:val="24"/>
        </w:rPr>
      </w:pPr>
      <w:r>
        <w:rPr>
          <w:rFonts w:hint="eastAsia" w:ascii="宋体" w:hAnsi="宋体" w:cs="宋体"/>
          <w:sz w:val="24"/>
        </w:rPr>
        <w:t>（</w:t>
      </w:r>
      <w:r>
        <w:rPr>
          <w:rFonts w:ascii="Times New Roman" w:hAnsi="Times New Roman"/>
          <w:sz w:val="24"/>
        </w:rPr>
        <w:t>18</w:t>
      </w:r>
      <w:r>
        <w:rPr>
          <w:rFonts w:hint="eastAsia" w:ascii="宋体" w:hAnsi="宋体" w:cs="宋体"/>
          <w:sz w:val="24"/>
        </w:rPr>
        <w:t>）、碳素工业：石墨电极、碳素制品、沥青溶化、混捏锅加热、挤压成型。</w:t>
      </w:r>
    </w:p>
    <w:p>
      <w:pPr>
        <w:spacing w:line="360" w:lineRule="auto"/>
        <w:ind w:firstLine="360" w:firstLineChars="150"/>
        <w:rPr>
          <w:rFonts w:hint="eastAsia" w:ascii="宋体" w:hAnsi="宋体" w:cs="宋体"/>
          <w:sz w:val="24"/>
        </w:rPr>
      </w:pPr>
    </w:p>
    <w:p>
      <w:pPr>
        <w:pStyle w:val="5"/>
        <w:bidi w:val="0"/>
        <w:outlineLvl w:val="1"/>
        <w:rPr>
          <w:rFonts w:hint="eastAsia"/>
          <w:lang w:val="en-US" w:eastAsia="zh-CN"/>
        </w:rPr>
      </w:pPr>
      <w:bookmarkStart w:id="13" w:name="_Toc549"/>
      <w:r>
        <w:rPr>
          <w:rFonts w:hint="eastAsia"/>
          <w:lang w:val="en-US" w:eastAsia="zh-CN"/>
        </w:rPr>
        <w:t>六、工艺流程</w:t>
      </w:r>
      <w:bookmarkEnd w:id="13"/>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rFonts w:hint="eastAsia" w:cs="宋体"/>
          <w:sz w:val="24"/>
          <w:szCs w:val="24"/>
        </w:rPr>
        <w:t>有机热载体炉供热系统，根据实际情况可设计不同的工艺流程。本工艺流程组成：</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1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⑴</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、注油：向系统注入导热油，油源由外部或储油槽提供。</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⑵</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、主循环：载热体加热油炉获得热能后向用热设备供热，由循环油泵、热油炉、用热设备、油汽分离器、过滤器及其连接管道、阀门组成。</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3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⑶</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、冷油置换：紧急停炉时为防止炉管内导热油过热，关闭系统阀门，打开置换阀门，由膨胀槽、油气分离器、油炉及其连接管道将油炉内的热油置换到储油罐内。</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4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⑷</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、溢流、排气、膨胀槽的过剩油液通过溢流管自动流入储油槽、膨胀槽，储油槽的气体分别由放空管通至安全区。</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5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⑸</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、温度、压力、压差显示。表示系统内导热油循环情况，反映供热系统工况正常与否。</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sz w:val="24"/>
          <w:szCs w:val="24"/>
        </w:rPr>
        <w:fldChar w:fldCharType="begin"/>
      </w:r>
      <w:r>
        <w:rPr>
          <w:sz w:val="24"/>
          <w:szCs w:val="24"/>
        </w:rPr>
        <w:instrText xml:space="preserve"> = 6 \* GB2 </w:instrText>
      </w:r>
      <w:r>
        <w:rPr>
          <w:sz w:val="24"/>
          <w:szCs w:val="24"/>
        </w:rPr>
        <w:fldChar w:fldCharType="separate"/>
      </w:r>
      <w:r>
        <w:rPr>
          <w:rFonts w:hint="eastAsia" w:cs="宋体"/>
          <w:sz w:val="24"/>
          <w:szCs w:val="24"/>
        </w:rPr>
        <w:t>⑹</w:t>
      </w:r>
      <w:r>
        <w:rPr>
          <w:sz w:val="24"/>
          <w:szCs w:val="24"/>
        </w:rPr>
        <w:fldChar w:fldCharType="end"/>
      </w:r>
      <w:r>
        <w:rPr>
          <w:rFonts w:hint="eastAsia" w:cs="宋体"/>
          <w:sz w:val="24"/>
          <w:szCs w:val="24"/>
        </w:rPr>
        <w:t>、辅助排汽：当导热油初始脱水阶段，气量较多时，可经辅助排气阀门及管线进行辅助排气，此时应关闭膨胀槽上的放空管阀门，以免导热油被气冲走，从放空管喷出。加热炉正常工作时，关闭辅助阀门打开放空管阀门，系统内产生的微量气体，通过油气分离器经排气管排出。</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cs="宋体"/>
          <w:sz w:val="24"/>
          <w:szCs w:val="24"/>
        </w:rPr>
      </w:pPr>
      <w:r>
        <w:rPr>
          <w:sz w:val="24"/>
          <w:szCs w:val="24"/>
        </w:rPr>
        <w:fldChar w:fldCharType="begin"/>
      </w:r>
      <w:r>
        <w:rPr>
          <w:sz w:val="24"/>
          <w:szCs w:val="24"/>
        </w:rPr>
        <w:instrText xml:space="preserve"> = 7 \* GB2 </w:instrText>
      </w:r>
      <w:r>
        <w:rPr>
          <w:sz w:val="24"/>
          <w:szCs w:val="24"/>
        </w:rPr>
        <w:fldChar w:fldCharType="separate"/>
      </w:r>
      <w:r>
        <w:rPr>
          <w:rFonts w:hint="eastAsia" w:cs="宋体"/>
          <w:sz w:val="24"/>
          <w:szCs w:val="24"/>
        </w:rPr>
        <w:t>⑺</w:t>
      </w:r>
      <w:r>
        <w:rPr>
          <w:sz w:val="24"/>
          <w:szCs w:val="24"/>
        </w:rPr>
        <w:fldChar w:fldCharType="end"/>
      </w:r>
      <w:r>
        <w:rPr>
          <w:rFonts w:hint="eastAsia" w:cs="宋体"/>
          <w:sz w:val="24"/>
          <w:szCs w:val="24"/>
        </w:rPr>
        <w:t>、旁路：在停止向用热设备供热时开启旁路阀门，起旁路循环作用。正常工作时关闭旁路阀门，膨胀管起导热油热膨胀溢流和自动补偿作用；</w:t>
      </w:r>
    </w:p>
    <w:p>
      <w:pPr>
        <w:keepNext w:val="0"/>
        <w:keepLines w:val="0"/>
        <w:pageBreakBefore w:val="0"/>
        <w:kinsoku/>
        <w:wordWrap/>
        <w:overflowPunct/>
        <w:topLinePunct w:val="0"/>
        <w:autoSpaceDE/>
        <w:autoSpaceDN/>
        <w:bidi w:val="0"/>
        <w:adjustRightInd/>
        <w:snapToGrid/>
        <w:spacing w:line="440" w:lineRule="atLeast"/>
        <w:ind w:firstLine="482" w:firstLineChars="200"/>
        <w:jc w:val="left"/>
        <w:outlineLvl w:val="9"/>
        <w:rPr>
          <w:rFonts w:hint="eastAsia"/>
          <w:b/>
          <w:sz w:val="24"/>
        </w:rPr>
      </w:pPr>
      <w:r>
        <w:rPr>
          <w:rFonts w:hint="eastAsia"/>
          <w:b/>
          <w:sz w:val="24"/>
        </w:rPr>
        <w:t>当锅炉及系统有机热载体总注入量大于5m3时，应当按《锅炉安全技术监察规程》11.3.6.2~11.3.6.6条的要求装设安全保护装置。</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sz w:val="24"/>
        </w:rPr>
      </w:pPr>
      <w:r>
        <w:rPr>
          <w:rFonts w:hint="eastAsia"/>
          <w:sz w:val="24"/>
        </w:rPr>
        <w:t>1、火焰加热炉的炉膛配有惰性气体灭火系统，一般为氮气，供气系统用户自理，要求进气压力为0.6</w:t>
      </w:r>
      <w:r>
        <w:rPr>
          <w:rFonts w:hint="eastAsia"/>
          <w:b/>
          <w:sz w:val="24"/>
        </w:rPr>
        <w:t xml:space="preserve"> </w:t>
      </w:r>
      <w:r>
        <w:rPr>
          <w:rFonts w:hint="eastAsia"/>
          <w:sz w:val="24"/>
        </w:rPr>
        <w:t>MPa.</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rPr>
      </w:pPr>
      <w:r>
        <w:rPr>
          <w:rFonts w:hint="eastAsia"/>
          <w:sz w:val="24"/>
        </w:rPr>
        <w:t>2、锅炉具有出口油温超温报警、压差报警功能；若锅炉系统有机热载体总注入量大于5m³时，还具有出口油压超压、低压、低流量报警，膨胀罐高、低液位报警，排烟温度超温报警，以及相应联锁等功能；（系统正常运行期间，司炉工应定期手动检验各安全报警装置，且锅炉正常运行时不得退出使用），闭式膨胀罐还应设超压报警装置。报警并与加热装置联锁，及时切断加热装置。</w:t>
      </w:r>
    </w:p>
    <w:p>
      <w:pPr>
        <w:pStyle w:val="11"/>
        <w:widowControl w:val="0"/>
        <w:autoSpaceDE w:val="0"/>
        <w:spacing w:before="0" w:beforeAutospacing="0" w:after="0" w:afterAutospacing="0"/>
        <w:jc w:val="both"/>
        <w:rPr>
          <w:rFonts w:ascii="仿宋_GB2312" w:eastAsia="仿宋_GB2312" w:cs="仿宋_GB2312"/>
          <w:color w:val="000000"/>
          <w:kern w:val="2"/>
          <w:sz w:val="28"/>
          <w:szCs w:val="28"/>
        </w:rPr>
      </w:pPr>
    </w:p>
    <w:p>
      <w:pPr>
        <w:pStyle w:val="5"/>
        <w:bidi w:val="0"/>
        <w:outlineLvl w:val="1"/>
      </w:pPr>
      <w:bookmarkStart w:id="14" w:name="_Toc2224"/>
      <w:r>
        <w:rPr>
          <w:rFonts w:hint="eastAsia"/>
          <w:lang w:val="en-US" w:eastAsia="zh-CN"/>
        </w:rPr>
        <w:t>七</w:t>
      </w:r>
      <w:r>
        <w:t>、安全控制</w:t>
      </w:r>
      <w:bookmarkEnd w:id="14"/>
    </w:p>
    <w:p>
      <w:pPr>
        <w:pStyle w:val="11"/>
        <w:widowControl w:val="0"/>
        <w:autoSpaceDE w:val="0"/>
        <w:spacing w:before="0" w:beforeAutospacing="0" w:after="0" w:afterAutospacing="0"/>
        <w:ind w:firstLine="570"/>
        <w:jc w:val="both"/>
        <w:rPr>
          <w:rFonts w:hint="eastAsia" w:ascii="宋体" w:hAnsi="宋体" w:eastAsia="宋体" w:cs="宋体"/>
          <w:b/>
          <w:bCs/>
          <w:color w:val="000000"/>
          <w:kern w:val="2"/>
          <w:sz w:val="28"/>
          <w:szCs w:val="28"/>
        </w:rPr>
      </w:pPr>
      <w:r>
        <w:rPr>
          <w:rFonts w:hint="eastAsia" w:ascii="宋体" w:hAnsi="宋体" w:eastAsia="宋体" w:cs="宋体"/>
          <w:b/>
          <w:bCs/>
          <w:color w:val="000000"/>
          <w:kern w:val="2"/>
          <w:sz w:val="28"/>
          <w:szCs w:val="28"/>
        </w:rPr>
        <w:t>本锅炉具有超温、低压、超压、低流量报警控制；</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1）超温报警控制：热电偶，接口PN16，DN15；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2）差压报警控制：差压报警装置，接口PN16， 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3）出口超压报警控制：电接点压力表，接口PN16，DN15；</w:t>
      </w:r>
    </w:p>
    <w:p>
      <w:pPr>
        <w:pStyle w:val="11"/>
        <w:widowControl w:val="0"/>
        <w:autoSpaceDE w:val="0"/>
        <w:spacing w:before="0" w:beforeAutospacing="0" w:after="0" w:afterAutospacing="0"/>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kern w:val="2"/>
          <w:sz w:val="28"/>
          <w:szCs w:val="28"/>
        </w:rPr>
        <w:t>4）低流量报警控制：流量传感器，接口PN16，DN125</w:t>
      </w:r>
    </w:p>
    <w:p>
      <w:pPr>
        <w:numPr>
          <w:ilvl w:val="0"/>
          <w:numId w:val="0"/>
        </w:numPr>
      </w:pPr>
    </w:p>
    <w:p>
      <w:pPr>
        <w:pStyle w:val="5"/>
        <w:bidi w:val="0"/>
        <w:outlineLvl w:val="1"/>
      </w:pPr>
      <w:bookmarkStart w:id="15" w:name="_Toc3580"/>
      <w:r>
        <w:rPr>
          <w:rFonts w:hint="eastAsia"/>
          <w:lang w:val="en-US" w:eastAsia="zh-CN"/>
        </w:rPr>
        <w:t>八</w:t>
      </w:r>
      <w:r>
        <w:t>、主要设计依据</w:t>
      </w:r>
      <w:bookmarkEnd w:id="15"/>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1、TSG G0001-2012《锅炉安全技术监察规程》；</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2、GB/T17410-2008《有机热载体炉》；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3、受压元件强度校核符合GB/T16507.1～16507.8《水管锅炉》；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4、GB50211-2004《工业炉砌筑工程施工及验收规范》；</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5、GB13271-2014《锅炉大气污染物排放标准》；</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6、TSG G0002-2010《锅炉节能技术监督管理规程》；</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7、TSG G0003-2010《工业锅炉能效测试与评价规则》；</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8、GB24747-2009《有机热载体安全技术条件》等。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9、GB50273-2009《锅炉安装工程施工及验收规范》</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10、GB24747-2009《有机热载体安全技术条件》等；</w:t>
      </w:r>
    </w:p>
    <w:p>
      <w:pPr>
        <w:autoSpaceDE w:val="0"/>
        <w:autoSpaceDN w:val="0"/>
        <w:adjustRightInd w:val="0"/>
        <w:jc w:val="left"/>
        <w:rPr>
          <w:rFonts w:hint="eastAsia" w:ascii="宋体" w:hAnsi="宋体" w:eastAsia="宋体" w:cs="宋体"/>
          <w:kern w:val="0"/>
          <w:sz w:val="28"/>
          <w:szCs w:val="28"/>
        </w:rPr>
      </w:pPr>
      <w:r>
        <w:rPr>
          <w:rFonts w:hint="eastAsia" w:ascii="宋体" w:hAnsi="宋体" w:eastAsia="宋体" w:cs="宋体"/>
          <w:kern w:val="0"/>
          <w:sz w:val="28"/>
          <w:szCs w:val="28"/>
        </w:rPr>
        <w:t>11、NB/T47055-2017《锅炉涂装和包装通用技术条件》等。</w:t>
      </w:r>
    </w:p>
    <w:p>
      <w:pPr>
        <w:numPr>
          <w:ilvl w:val="0"/>
          <w:numId w:val="0"/>
        </w:numPr>
        <w:rPr>
          <w:rFonts w:hint="eastAsia" w:ascii="宋体" w:hAnsi="宋体" w:eastAsia="宋体" w:cs="宋体"/>
        </w:r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3"/>
        <w:tblpPr w:leftFromText="180" w:rightFromText="180" w:vertAnchor="text" w:horzAnchor="margin" w:tblpXSpec="center" w:tblpY="793"/>
        <w:tblW w:w="5008" w:type="pct"/>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autofit"/>
        <w:tblCellMar>
          <w:top w:w="0" w:type="dxa"/>
          <w:left w:w="108" w:type="dxa"/>
          <w:bottom w:w="0" w:type="dxa"/>
          <w:right w:w="108" w:type="dxa"/>
        </w:tblCellMar>
      </w:tblPr>
      <w:tblGrid>
        <w:gridCol w:w="5200"/>
        <w:gridCol w:w="4778"/>
      </w:tblGrid>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0"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1" cstate="print"/>
                          <a:stretch>
                            <a:fillRect/>
                          </a:stretch>
                        </pic:blipFill>
                        <pic:spPr>
                          <a:xfrm>
                            <a:off x="0" y="0"/>
                            <a:ext cx="2888615" cy="2175510"/>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3" cstate="print"/>
                          <a:stretch>
                            <a:fillRect/>
                          </a:stretch>
                        </pic:blipFill>
                        <pic:spPr>
                          <a:xfrm>
                            <a:off x="0" y="0"/>
                            <a:ext cx="2687320" cy="2873375"/>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outlineLvl w:val="0"/>
        <w:rPr>
          <w:rFonts w:hint="eastAsia" w:ascii="Arial" w:hAnsi="Arial" w:eastAsia="黑体" w:cs="Times New Roman"/>
          <w:b/>
          <w:kern w:val="2"/>
          <w:sz w:val="32"/>
          <w:szCs w:val="24"/>
          <w:lang w:val="en-US" w:eastAsia="zh-CN" w:bidi="ar-SA"/>
        </w:rPr>
        <w:sectPr>
          <w:footerReference r:id="rId7" w:type="default"/>
          <w:pgSz w:w="11906" w:h="16838"/>
          <w:pgMar w:top="1440" w:right="1080" w:bottom="1440" w:left="1080" w:header="851" w:footer="283" w:gutter="0"/>
          <w:pgNumType w:fmt="decimal"/>
          <w:cols w:space="425" w:num="1"/>
          <w:docGrid w:type="lines" w:linePitch="312" w:charSpace="0"/>
        </w:sectPr>
      </w:pPr>
      <w:bookmarkStart w:id="16" w:name="_Toc17409"/>
      <w:bookmarkStart w:id="17" w:name="_Toc16382"/>
      <w:r>
        <w:rPr>
          <w:rFonts w:hint="eastAsia" w:ascii="Arial" w:hAnsi="Arial" w:eastAsia="黑体" w:cs="Times New Roman"/>
          <w:b/>
          <w:kern w:val="2"/>
          <w:sz w:val="32"/>
          <w:szCs w:val="24"/>
          <w:lang w:val="en-US" w:eastAsia="zh-CN" w:bidi="ar-SA"/>
        </w:rPr>
        <w:t>六、客户来访</w:t>
      </w:r>
      <w:bookmarkEnd w:id="16"/>
      <w:bookmarkEnd w:id="17"/>
    </w:p>
    <w:p>
      <w:pPr>
        <w:pStyle w:val="3"/>
        <w:outlineLvl w:val="0"/>
      </w:pPr>
      <w:bookmarkStart w:id="18" w:name="_Toc24433"/>
      <w:bookmarkStart w:id="19" w:name="_Toc24098"/>
      <w:r>
        <w:rPr>
          <w:rFonts w:hint="eastAsia"/>
        </w:rPr>
        <w:t>七、设备支持</w:t>
      </w:r>
      <w:bookmarkEnd w:id="18"/>
      <w:bookmarkEnd w:id="19"/>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28"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3"/>
        <w:outlineLvl w:val="0"/>
      </w:pPr>
      <w:bookmarkStart w:id="20" w:name="_Toc29023"/>
      <w:bookmarkStart w:id="21" w:name="_Toc20335"/>
      <w:r>
        <w:rPr>
          <w:rFonts w:hint="eastAsia"/>
        </w:rPr>
        <w:t>八、安全、质量保证措施</w:t>
      </w:r>
      <w:bookmarkEnd w:id="20"/>
      <w:bookmarkEnd w:id="21"/>
    </w:p>
    <w:p>
      <w:pPr>
        <w:pStyle w:val="4"/>
        <w:outlineLvl w:val="1"/>
      </w:pPr>
      <w:bookmarkStart w:id="22" w:name="_Toc19102"/>
      <w:bookmarkStart w:id="23" w:name="_Toc4151"/>
      <w:r>
        <w:rPr>
          <w:rFonts w:hint="eastAsia"/>
        </w:rPr>
        <w:t>1、安全保证措施</w:t>
      </w:r>
      <w:bookmarkEnd w:id="22"/>
      <w:bookmarkEnd w:id="2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4"/>
        <w:outlineLvl w:val="1"/>
      </w:pPr>
      <w:bookmarkStart w:id="24" w:name="_Toc29108"/>
      <w:bookmarkStart w:id="25" w:name="_Toc5385"/>
      <w:r>
        <w:rPr>
          <w:rFonts w:hint="eastAsia"/>
        </w:rPr>
        <w:t>2、质量保证措施</w:t>
      </w:r>
      <w:bookmarkEnd w:id="24"/>
      <w:bookmarkEnd w:id="2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3"/>
        <w:jc w:val="left"/>
        <w:outlineLvl w:val="0"/>
      </w:pPr>
      <w:bookmarkStart w:id="26" w:name="_Toc27029"/>
      <w:bookmarkStart w:id="27" w:name="_Toc31775"/>
      <w:r>
        <w:rPr>
          <w:rFonts w:hint="eastAsia"/>
        </w:rPr>
        <w:t>九、售后服务承诺</w:t>
      </w:r>
      <w:bookmarkEnd w:id="26"/>
      <w:bookmarkEnd w:id="27"/>
    </w:p>
    <w:p>
      <w:pPr>
        <w:pStyle w:val="4"/>
        <w:outlineLvl w:val="1"/>
      </w:pPr>
      <w:bookmarkStart w:id="28" w:name="_Toc22905"/>
      <w:bookmarkStart w:id="29" w:name="_Toc21871"/>
      <w:r>
        <w:rPr>
          <w:rFonts w:hint="eastAsia"/>
        </w:rPr>
        <w:t>1、服务体系</w:t>
      </w:r>
      <w:bookmarkEnd w:id="28"/>
      <w:bookmarkEnd w:id="2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4"/>
        <w:outlineLvl w:val="1"/>
      </w:pPr>
      <w:bookmarkStart w:id="30" w:name="_Toc26214"/>
      <w:bookmarkStart w:id="31" w:name="_Toc4153"/>
      <w:r>
        <w:rPr>
          <w:rFonts w:hint="eastAsia"/>
        </w:rPr>
        <w:t>2、售前服务</w:t>
      </w:r>
      <w:bookmarkEnd w:id="30"/>
      <w:bookmarkEnd w:id="31"/>
      <w:r>
        <w:rPr>
          <w:rFonts w:hint="eastAsia"/>
        </w:rPr>
        <w:t xml:space="preserve">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4"/>
        <w:outlineLvl w:val="1"/>
      </w:pPr>
      <w:bookmarkStart w:id="32" w:name="_Toc31300"/>
      <w:bookmarkStart w:id="33" w:name="_Toc14936"/>
      <w:r>
        <w:rPr>
          <w:rFonts w:hint="eastAsia"/>
        </w:rPr>
        <w:t>3、售后服务</w:t>
      </w:r>
      <w:bookmarkEnd w:id="32"/>
      <w:bookmarkEnd w:id="3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4"/>
        <w:outlineLvl w:val="1"/>
      </w:pPr>
      <w:bookmarkStart w:id="34" w:name="_Toc23918"/>
      <w:bookmarkStart w:id="35" w:name="_Toc24693"/>
      <w:r>
        <w:rPr>
          <w:rFonts w:hint="eastAsia"/>
        </w:rPr>
        <w:t>4、规范化的服务标准</w:t>
      </w:r>
      <w:bookmarkEnd w:id="34"/>
      <w:bookmarkEnd w:id="3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4"/>
        <w:outlineLvl w:val="1"/>
      </w:pPr>
      <w:bookmarkStart w:id="36" w:name="_Toc9436"/>
      <w:bookmarkStart w:id="37" w:name="_Toc11155"/>
      <w:r>
        <w:rPr>
          <w:rFonts w:hint="eastAsia"/>
        </w:rPr>
        <w:t>5、星级服务1、2、3、4模式</w:t>
      </w:r>
      <w:bookmarkEnd w:id="36"/>
      <w:bookmarkEnd w:id="37"/>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4"/>
        <w:outlineLvl w:val="1"/>
      </w:pPr>
      <w:bookmarkStart w:id="38" w:name="_Toc1757"/>
      <w:bookmarkStart w:id="39" w:name="_Toc7786"/>
      <w:r>
        <w:rPr>
          <w:rFonts w:hint="eastAsia"/>
        </w:rPr>
        <w:t>6、技术服务与联络</w:t>
      </w:r>
      <w:bookmarkEnd w:id="38"/>
      <w:bookmarkEnd w:id="3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4"/>
        <w:outlineLvl w:val="1"/>
      </w:pPr>
      <w:bookmarkStart w:id="40" w:name="_Toc6379"/>
      <w:bookmarkStart w:id="41" w:name="_Toc8578"/>
      <w:r>
        <w:rPr>
          <w:rFonts w:hint="eastAsia"/>
        </w:rPr>
        <w:t>7、组织保证</w:t>
      </w:r>
      <w:bookmarkEnd w:id="40"/>
      <w:bookmarkEnd w:id="41"/>
    </w:p>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3"/>
        <w:jc w:val="left"/>
        <w:outlineLvl w:val="0"/>
      </w:pPr>
      <w:bookmarkStart w:id="42" w:name="_Toc10628"/>
      <w:bookmarkStart w:id="43" w:name="_Toc27408"/>
      <w:r>
        <w:rPr>
          <w:rFonts w:hint="eastAsia"/>
        </w:rPr>
        <w:t>十、厂区环境</w:t>
      </w:r>
      <w:bookmarkEnd w:id="42"/>
      <w:bookmarkEnd w:id="43"/>
    </w:p>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1"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2"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3"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4" cstate="print"/>
                    <a:stretch>
                      <a:fillRect/>
                    </a:stretch>
                  </pic:blipFill>
                  <pic:spPr>
                    <a:xfrm>
                      <a:off x="0" y="0"/>
                      <a:ext cx="6120130" cy="4177665"/>
                    </a:xfrm>
                    <a:prstGeom prst="rect">
                      <a:avLst/>
                    </a:prstGeom>
                  </pic:spPr>
                </pic:pic>
              </a:graphicData>
            </a:graphic>
          </wp:anchor>
        </w:drawing>
      </w:r>
    </w:p>
    <w:p/>
    <w:p/>
    <w:p/>
    <w:p>
      <w: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5" cstate="print"/>
                    <a:srcRect t="19823"/>
                    <a:stretch>
                      <a:fillRect/>
                    </a:stretch>
                  </pic:blipFill>
                  <pic:spPr>
                    <a:xfrm>
                      <a:off x="0" y="0"/>
                      <a:ext cx="6120130" cy="3680460"/>
                    </a:xfrm>
                    <a:prstGeom prst="rect">
                      <a:avLst/>
                    </a:prstGeom>
                  </pic:spPr>
                </pic:pic>
              </a:graphicData>
            </a:graphic>
          </wp:anchor>
        </w:drawing>
      </w:r>
    </w:p>
    <w:p/>
    <w:p>
      <w: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6" cstate="print"/>
                    <a:srcRect b="20058"/>
                    <a:stretch>
                      <a:fillRect/>
                    </a:stretch>
                  </pic:blipFill>
                  <pic:spPr>
                    <a:xfrm>
                      <a:off x="0" y="0"/>
                      <a:ext cx="6120130" cy="3441700"/>
                    </a:xfrm>
                    <a:prstGeom prst="rect">
                      <a:avLst/>
                    </a:prstGeom>
                  </pic:spPr>
                </pic:pic>
              </a:graphicData>
            </a:graphic>
          </wp:anchor>
        </w:drawing>
      </w:r>
    </w:p>
    <w:p/>
    <w:p/>
    <w:p>
      <w:pPr>
        <w:outlineLvl w:val="0"/>
        <w:rPr>
          <w:rFonts w:hint="default" w:ascii="Arial" w:hAnsi="Arial" w:eastAsia="黑体" w:cs="Times New Roman"/>
          <w:b/>
          <w:kern w:val="2"/>
          <w:sz w:val="32"/>
          <w:szCs w:val="24"/>
          <w:lang w:val="en-US" w:eastAsia="zh-CN" w:bidi="ar-SA"/>
        </w:rPr>
      </w:pPr>
      <w:bookmarkStart w:id="44" w:name="_Toc9426"/>
      <w:bookmarkStart w:id="45" w:name="_Toc5791"/>
      <w:r>
        <w:rPr>
          <w:rFonts w:hint="eastAsia" w:ascii="Arial" w:hAnsi="Arial" w:eastAsia="黑体" w:cs="Times New Roman"/>
          <w:b/>
          <w:kern w:val="2"/>
          <w:sz w:val="32"/>
          <w:szCs w:val="24"/>
          <w:lang w:val="en-US" w:eastAsia="zh-CN" w:bidi="ar-SA"/>
        </w:rPr>
        <w:t>十一、公司</w:t>
      </w:r>
      <w:bookmarkEnd w:id="44"/>
      <w:r>
        <w:rPr>
          <w:rFonts w:hint="eastAsia" w:ascii="Arial" w:hAnsi="Arial" w:eastAsia="黑体" w:cs="Times New Roman"/>
          <w:b/>
          <w:kern w:val="2"/>
          <w:sz w:val="32"/>
          <w:szCs w:val="24"/>
          <w:lang w:val="en-US" w:eastAsia="zh-CN" w:bidi="ar-SA"/>
        </w:rPr>
        <w:t>寄语</w:t>
      </w:r>
      <w:bookmarkEnd w:id="45"/>
    </w:p>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7"/>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4864"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1BC2A2"/>
    <w:multiLevelType w:val="singleLevel"/>
    <w:tmpl w:val="761BC2A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B13186"/>
    <w:rsid w:val="00CF2E42"/>
    <w:rsid w:val="00D50E40"/>
    <w:rsid w:val="00D71FFE"/>
    <w:rsid w:val="015127EE"/>
    <w:rsid w:val="01A06E9D"/>
    <w:rsid w:val="01D34B7C"/>
    <w:rsid w:val="01FC1C86"/>
    <w:rsid w:val="028B5747"/>
    <w:rsid w:val="02AC20AB"/>
    <w:rsid w:val="02BE0A08"/>
    <w:rsid w:val="02EA149B"/>
    <w:rsid w:val="02F02142"/>
    <w:rsid w:val="03C70AD5"/>
    <w:rsid w:val="03EF4C47"/>
    <w:rsid w:val="04095360"/>
    <w:rsid w:val="04BB2B23"/>
    <w:rsid w:val="04DF5F2E"/>
    <w:rsid w:val="053A3164"/>
    <w:rsid w:val="05696E27"/>
    <w:rsid w:val="05A0746B"/>
    <w:rsid w:val="05A53B6A"/>
    <w:rsid w:val="05E03D0C"/>
    <w:rsid w:val="05FE7BBD"/>
    <w:rsid w:val="06155D3C"/>
    <w:rsid w:val="0619373E"/>
    <w:rsid w:val="063021E4"/>
    <w:rsid w:val="06635EA2"/>
    <w:rsid w:val="067032E2"/>
    <w:rsid w:val="067A5F0E"/>
    <w:rsid w:val="068426BF"/>
    <w:rsid w:val="06B15F12"/>
    <w:rsid w:val="06F73FC0"/>
    <w:rsid w:val="070E7A21"/>
    <w:rsid w:val="07BF667B"/>
    <w:rsid w:val="07C531B9"/>
    <w:rsid w:val="07F13FAE"/>
    <w:rsid w:val="08AB0AE0"/>
    <w:rsid w:val="08B9073E"/>
    <w:rsid w:val="08BE6F38"/>
    <w:rsid w:val="08C1596C"/>
    <w:rsid w:val="0962474B"/>
    <w:rsid w:val="096E2E44"/>
    <w:rsid w:val="098B3F8E"/>
    <w:rsid w:val="09DC01B4"/>
    <w:rsid w:val="0A0D52EB"/>
    <w:rsid w:val="0AD43E4B"/>
    <w:rsid w:val="0AF0197B"/>
    <w:rsid w:val="0BC65752"/>
    <w:rsid w:val="0BDE6F3F"/>
    <w:rsid w:val="0BFC15F3"/>
    <w:rsid w:val="0C837F8F"/>
    <w:rsid w:val="0C894D11"/>
    <w:rsid w:val="0D3057FC"/>
    <w:rsid w:val="0D6D5FF2"/>
    <w:rsid w:val="0DDA5293"/>
    <w:rsid w:val="0DE70BA4"/>
    <w:rsid w:val="0E2B1997"/>
    <w:rsid w:val="0ED85EC5"/>
    <w:rsid w:val="0F836EE2"/>
    <w:rsid w:val="0FA51AAB"/>
    <w:rsid w:val="11245688"/>
    <w:rsid w:val="11A8771C"/>
    <w:rsid w:val="11B916BF"/>
    <w:rsid w:val="120C5D0C"/>
    <w:rsid w:val="12BD55CA"/>
    <w:rsid w:val="148A6568"/>
    <w:rsid w:val="15126972"/>
    <w:rsid w:val="15B548B1"/>
    <w:rsid w:val="15C73AD0"/>
    <w:rsid w:val="16C15291"/>
    <w:rsid w:val="16DA0303"/>
    <w:rsid w:val="16FE5C6E"/>
    <w:rsid w:val="17463BEB"/>
    <w:rsid w:val="18B75FE1"/>
    <w:rsid w:val="18C304F1"/>
    <w:rsid w:val="194128BC"/>
    <w:rsid w:val="196046BE"/>
    <w:rsid w:val="1A465446"/>
    <w:rsid w:val="1A484CDB"/>
    <w:rsid w:val="1A4F2DB6"/>
    <w:rsid w:val="1A723EEF"/>
    <w:rsid w:val="1AA55149"/>
    <w:rsid w:val="1AA76665"/>
    <w:rsid w:val="1AB81AC0"/>
    <w:rsid w:val="1B010C3A"/>
    <w:rsid w:val="1B5D78DD"/>
    <w:rsid w:val="1BD366BC"/>
    <w:rsid w:val="1BF81957"/>
    <w:rsid w:val="1C87150A"/>
    <w:rsid w:val="1CAA7140"/>
    <w:rsid w:val="1CEB1412"/>
    <w:rsid w:val="1D1F1166"/>
    <w:rsid w:val="1D373AAF"/>
    <w:rsid w:val="1D815CC7"/>
    <w:rsid w:val="1D8B1CDD"/>
    <w:rsid w:val="1DB63878"/>
    <w:rsid w:val="1ECA499A"/>
    <w:rsid w:val="20BE2A81"/>
    <w:rsid w:val="210027D1"/>
    <w:rsid w:val="21B70F5F"/>
    <w:rsid w:val="220E29EB"/>
    <w:rsid w:val="22110E8E"/>
    <w:rsid w:val="22A20F04"/>
    <w:rsid w:val="22DF4B6F"/>
    <w:rsid w:val="22FA0FEE"/>
    <w:rsid w:val="23353491"/>
    <w:rsid w:val="240958D2"/>
    <w:rsid w:val="24E54A43"/>
    <w:rsid w:val="24FF3D57"/>
    <w:rsid w:val="251D5AD1"/>
    <w:rsid w:val="256623C5"/>
    <w:rsid w:val="258D56D9"/>
    <w:rsid w:val="25C1100C"/>
    <w:rsid w:val="25EE542F"/>
    <w:rsid w:val="25F0276F"/>
    <w:rsid w:val="2605432E"/>
    <w:rsid w:val="260B7449"/>
    <w:rsid w:val="26487037"/>
    <w:rsid w:val="26870C67"/>
    <w:rsid w:val="278F7A7D"/>
    <w:rsid w:val="27A720F5"/>
    <w:rsid w:val="27DE3507"/>
    <w:rsid w:val="2835035F"/>
    <w:rsid w:val="28445F24"/>
    <w:rsid w:val="28722A91"/>
    <w:rsid w:val="29273C26"/>
    <w:rsid w:val="29CF713B"/>
    <w:rsid w:val="29D23193"/>
    <w:rsid w:val="2A404F01"/>
    <w:rsid w:val="2A77466A"/>
    <w:rsid w:val="2ACE1AD5"/>
    <w:rsid w:val="2AD510B6"/>
    <w:rsid w:val="2B555F04"/>
    <w:rsid w:val="2BA8157D"/>
    <w:rsid w:val="2C3F1B7E"/>
    <w:rsid w:val="2C7B3ADA"/>
    <w:rsid w:val="2CAF3E52"/>
    <w:rsid w:val="2CF0000D"/>
    <w:rsid w:val="2DE30510"/>
    <w:rsid w:val="2F1877C3"/>
    <w:rsid w:val="2F1A353B"/>
    <w:rsid w:val="2FD302BA"/>
    <w:rsid w:val="305F2EC5"/>
    <w:rsid w:val="30670886"/>
    <w:rsid w:val="3070139F"/>
    <w:rsid w:val="307978A9"/>
    <w:rsid w:val="310E5818"/>
    <w:rsid w:val="314D7BFB"/>
    <w:rsid w:val="33660F1D"/>
    <w:rsid w:val="340F037E"/>
    <w:rsid w:val="344277BC"/>
    <w:rsid w:val="3453279E"/>
    <w:rsid w:val="346B7C34"/>
    <w:rsid w:val="34A007DF"/>
    <w:rsid w:val="35337105"/>
    <w:rsid w:val="35571045"/>
    <w:rsid w:val="35AF0E81"/>
    <w:rsid w:val="35E32E59"/>
    <w:rsid w:val="36144737"/>
    <w:rsid w:val="36513CE6"/>
    <w:rsid w:val="365E1ABA"/>
    <w:rsid w:val="3699743B"/>
    <w:rsid w:val="36C95F72"/>
    <w:rsid w:val="375A12C0"/>
    <w:rsid w:val="38036A56"/>
    <w:rsid w:val="388F7E08"/>
    <w:rsid w:val="38996D24"/>
    <w:rsid w:val="389D0E27"/>
    <w:rsid w:val="38A13FF1"/>
    <w:rsid w:val="392733AE"/>
    <w:rsid w:val="39353D74"/>
    <w:rsid w:val="39E84962"/>
    <w:rsid w:val="3A0D261A"/>
    <w:rsid w:val="3A43559A"/>
    <w:rsid w:val="3A8F74D3"/>
    <w:rsid w:val="3A9457C2"/>
    <w:rsid w:val="3AB26081"/>
    <w:rsid w:val="3ABB2076"/>
    <w:rsid w:val="3B086599"/>
    <w:rsid w:val="3B3911ED"/>
    <w:rsid w:val="3B413366"/>
    <w:rsid w:val="3B985F13"/>
    <w:rsid w:val="3C003C3E"/>
    <w:rsid w:val="3C462230"/>
    <w:rsid w:val="3C8353AD"/>
    <w:rsid w:val="3CB1295C"/>
    <w:rsid w:val="3D74499B"/>
    <w:rsid w:val="3DA43295"/>
    <w:rsid w:val="3E1B38D6"/>
    <w:rsid w:val="3E2661F2"/>
    <w:rsid w:val="3E97439E"/>
    <w:rsid w:val="3E9C5D1B"/>
    <w:rsid w:val="3ED72CF5"/>
    <w:rsid w:val="3F281BB1"/>
    <w:rsid w:val="3F372DA0"/>
    <w:rsid w:val="3F606B5A"/>
    <w:rsid w:val="3F6F02F3"/>
    <w:rsid w:val="3F9D47CF"/>
    <w:rsid w:val="40E6394A"/>
    <w:rsid w:val="417C4D58"/>
    <w:rsid w:val="418C4F2A"/>
    <w:rsid w:val="41A2189A"/>
    <w:rsid w:val="42101C2C"/>
    <w:rsid w:val="428856B7"/>
    <w:rsid w:val="42D979A6"/>
    <w:rsid w:val="43077C5C"/>
    <w:rsid w:val="43572219"/>
    <w:rsid w:val="437F584C"/>
    <w:rsid w:val="44775260"/>
    <w:rsid w:val="4541177A"/>
    <w:rsid w:val="45B918A8"/>
    <w:rsid w:val="460D6277"/>
    <w:rsid w:val="464E0242"/>
    <w:rsid w:val="46560EA5"/>
    <w:rsid w:val="47095F17"/>
    <w:rsid w:val="471825FE"/>
    <w:rsid w:val="47D96A2F"/>
    <w:rsid w:val="48537D92"/>
    <w:rsid w:val="48993E7C"/>
    <w:rsid w:val="495A5150"/>
    <w:rsid w:val="49A1484E"/>
    <w:rsid w:val="4A253048"/>
    <w:rsid w:val="4A865B7B"/>
    <w:rsid w:val="4AEE5B50"/>
    <w:rsid w:val="4B80506B"/>
    <w:rsid w:val="4BAF1783"/>
    <w:rsid w:val="4BF03B4A"/>
    <w:rsid w:val="4C494BFE"/>
    <w:rsid w:val="4C6939FC"/>
    <w:rsid w:val="4C9F4305"/>
    <w:rsid w:val="4D0B069D"/>
    <w:rsid w:val="4D3B4982"/>
    <w:rsid w:val="4DA95138"/>
    <w:rsid w:val="4E775E5C"/>
    <w:rsid w:val="4E9F3BEC"/>
    <w:rsid w:val="4EB86190"/>
    <w:rsid w:val="4EBB4203"/>
    <w:rsid w:val="4F46222B"/>
    <w:rsid w:val="4FBC0AFB"/>
    <w:rsid w:val="5012408F"/>
    <w:rsid w:val="502D636D"/>
    <w:rsid w:val="504A49A8"/>
    <w:rsid w:val="513F7105"/>
    <w:rsid w:val="51655B3D"/>
    <w:rsid w:val="519D50A4"/>
    <w:rsid w:val="520E5057"/>
    <w:rsid w:val="526130AB"/>
    <w:rsid w:val="527728CF"/>
    <w:rsid w:val="529963E6"/>
    <w:rsid w:val="53A718DD"/>
    <w:rsid w:val="53FD47A1"/>
    <w:rsid w:val="543F1330"/>
    <w:rsid w:val="546E3324"/>
    <w:rsid w:val="554051FA"/>
    <w:rsid w:val="55B00902"/>
    <w:rsid w:val="55D07486"/>
    <w:rsid w:val="56424959"/>
    <w:rsid w:val="576D624C"/>
    <w:rsid w:val="58BE788A"/>
    <w:rsid w:val="58D61252"/>
    <w:rsid w:val="58EF652E"/>
    <w:rsid w:val="5936399C"/>
    <w:rsid w:val="5A094FC5"/>
    <w:rsid w:val="5B656BC2"/>
    <w:rsid w:val="5BA447C4"/>
    <w:rsid w:val="5BC8172D"/>
    <w:rsid w:val="5BCE3269"/>
    <w:rsid w:val="5C6953F1"/>
    <w:rsid w:val="5DCF35A7"/>
    <w:rsid w:val="5E6259D5"/>
    <w:rsid w:val="60082DB8"/>
    <w:rsid w:val="602D0A9E"/>
    <w:rsid w:val="60F81E86"/>
    <w:rsid w:val="615838F7"/>
    <w:rsid w:val="6165315A"/>
    <w:rsid w:val="61A602F0"/>
    <w:rsid w:val="61F01D56"/>
    <w:rsid w:val="62076EE2"/>
    <w:rsid w:val="62174BBD"/>
    <w:rsid w:val="62683FE2"/>
    <w:rsid w:val="62737C80"/>
    <w:rsid w:val="628E1C9B"/>
    <w:rsid w:val="6299019D"/>
    <w:rsid w:val="638E0C61"/>
    <w:rsid w:val="641D24F2"/>
    <w:rsid w:val="643B2AF7"/>
    <w:rsid w:val="6511270F"/>
    <w:rsid w:val="65314D46"/>
    <w:rsid w:val="657C3D5B"/>
    <w:rsid w:val="658B0713"/>
    <w:rsid w:val="660E2153"/>
    <w:rsid w:val="66D4519B"/>
    <w:rsid w:val="678278F4"/>
    <w:rsid w:val="678D7D4A"/>
    <w:rsid w:val="6804655B"/>
    <w:rsid w:val="68175D6D"/>
    <w:rsid w:val="68490412"/>
    <w:rsid w:val="69073F53"/>
    <w:rsid w:val="6A1A27EC"/>
    <w:rsid w:val="6A1A6686"/>
    <w:rsid w:val="6AFB3CEC"/>
    <w:rsid w:val="6AFE7291"/>
    <w:rsid w:val="6C2E5548"/>
    <w:rsid w:val="6C445178"/>
    <w:rsid w:val="6C7A503E"/>
    <w:rsid w:val="6CE150BD"/>
    <w:rsid w:val="6D0668D1"/>
    <w:rsid w:val="6DFB5D0A"/>
    <w:rsid w:val="6E2A44E4"/>
    <w:rsid w:val="6E4771A1"/>
    <w:rsid w:val="6E492F1A"/>
    <w:rsid w:val="6EA575EC"/>
    <w:rsid w:val="6EA63EC8"/>
    <w:rsid w:val="6EB50234"/>
    <w:rsid w:val="6EF8049C"/>
    <w:rsid w:val="6F780FE6"/>
    <w:rsid w:val="6FA40F23"/>
    <w:rsid w:val="6FC16882"/>
    <w:rsid w:val="6FF712B4"/>
    <w:rsid w:val="70A742FB"/>
    <w:rsid w:val="70BA6A2B"/>
    <w:rsid w:val="70E1568B"/>
    <w:rsid w:val="710B1EA7"/>
    <w:rsid w:val="71864D87"/>
    <w:rsid w:val="71B24BD6"/>
    <w:rsid w:val="71C869D7"/>
    <w:rsid w:val="71F9687A"/>
    <w:rsid w:val="72363DD1"/>
    <w:rsid w:val="72DE3255"/>
    <w:rsid w:val="72E36E6C"/>
    <w:rsid w:val="73154050"/>
    <w:rsid w:val="73637E23"/>
    <w:rsid w:val="73D4764E"/>
    <w:rsid w:val="74083FCC"/>
    <w:rsid w:val="7440146B"/>
    <w:rsid w:val="74614EB7"/>
    <w:rsid w:val="752B4053"/>
    <w:rsid w:val="763005C4"/>
    <w:rsid w:val="76545BF3"/>
    <w:rsid w:val="766A7ED1"/>
    <w:rsid w:val="769B452E"/>
    <w:rsid w:val="77216323"/>
    <w:rsid w:val="77F51A1C"/>
    <w:rsid w:val="781A67A6"/>
    <w:rsid w:val="785422B4"/>
    <w:rsid w:val="78DE0702"/>
    <w:rsid w:val="797B41A3"/>
    <w:rsid w:val="79927E6B"/>
    <w:rsid w:val="79A22173"/>
    <w:rsid w:val="79CD5B3E"/>
    <w:rsid w:val="79D0629D"/>
    <w:rsid w:val="7A460876"/>
    <w:rsid w:val="7AB414D0"/>
    <w:rsid w:val="7AE53DC4"/>
    <w:rsid w:val="7D836F3D"/>
    <w:rsid w:val="7DA87AED"/>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unhideWhenUsed/>
    <w:qFormat/>
    <w:uiPriority w:val="0"/>
    <w:pPr>
      <w:keepNext/>
      <w:keepLines/>
      <w:spacing w:line="413" w:lineRule="auto"/>
      <w:outlineLvl w:val="2"/>
    </w:pPr>
    <w:rPr>
      <w:b/>
      <w:sz w:val="32"/>
    </w:rPr>
  </w:style>
  <w:style w:type="paragraph" w:styleId="5">
    <w:name w:val="heading 4"/>
    <w:basedOn w:val="1"/>
    <w:next w:val="1"/>
    <w:unhideWhenUsed/>
    <w:qFormat/>
    <w:uiPriority w:val="0"/>
    <w:pPr>
      <w:keepNext/>
      <w:keepLines/>
      <w:ind w:left="200" w:leftChars="200"/>
      <w:outlineLvl w:val="3"/>
    </w:pPr>
    <w:rPr>
      <w:rFonts w:ascii="Arial" w:hAnsi="Arial" w:eastAsia="黑体"/>
      <w:b/>
      <w:sz w:val="28"/>
      <w:szCs w:val="22"/>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6780</Words>
  <Characters>7436</Characters>
  <Lines>1</Lines>
  <Paragraphs>1</Paragraphs>
  <TotalTime>0</TotalTime>
  <ScaleCrop>false</ScaleCrop>
  <LinksUpToDate>false</LinksUpToDate>
  <CharactersWithSpaces>7615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2024-05-20T08:47:15Z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FECC23AD525145FBB717443D8BED0131</vt:lpwstr>
  </property>
</Properties>
</file>