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3802" y="12091"/>
                            <a:ext cx="7955"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10.0T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卧式低氮冷凝燃油气蒸汽锅炉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oDE3vbAAAADAEAAA8A&#10;AAAAAAAAAQAgAAAAIgAAAGRycy9kb3ducmV2LnhtbFBLAQIUABQAAAAIAIdO4kBF+v69hgIAAIoG&#10;AAAOAAAAAAAAAAEAIAAAACoBAABkcnMvZTJvRG9jLnhtbFBLBQYAAAAABgAGAFkBAAAiBgAAA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3802;top:12091;height:2020;width:7955;"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10.0T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卧式低氮冷凝燃油气蒸汽锅炉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Style w:val="21"/>
          <w:lang w:val="en-US" w:eastAsia="zh-CN"/>
        </w:rPr>
        <w:id w:val="147458584"/>
        <w15:color w:val="DBDBDB"/>
        <w:docPartObj>
          <w:docPartGallery w:val="Table of Contents"/>
          <w:docPartUnique/>
        </w:docPartObj>
      </w:sdtPr>
      <w:sdtEndPr>
        <w:rPr>
          <w:rStyle w:val="21"/>
          <w:rFonts w:hint="eastAsia" w:ascii="Arial" w:hAnsi="Arial" w:eastAsia="黑体" w:cs="Times New Roman"/>
          <w:b/>
          <w:kern w:val="2"/>
          <w:sz w:val="21"/>
          <w:szCs w:val="24"/>
          <w:lang w:val="en-US" w:eastAsia="zh-CN" w:bidi="ar-SA"/>
        </w:rPr>
      </w:sdtEndPr>
      <w:sdtContent>
        <w:p>
          <w:pPr>
            <w:pStyle w:val="3"/>
            <w:bidi w:val="0"/>
            <w:spacing w:line="520" w:lineRule="exact"/>
            <w:jc w:val="center"/>
            <w:outlineLvl w:val="9"/>
            <w:rPr>
              <w:rFonts w:hint="eastAsia" w:ascii="Arial" w:hAnsi="Arial" w:eastAsia="黑体" w:cs="Times New Roman"/>
              <w:b/>
              <w:kern w:val="2"/>
              <w:sz w:val="32"/>
              <w:szCs w:val="24"/>
              <w:lang w:val="en-US" w:eastAsia="zh-CN" w:bidi="ar-SA"/>
            </w:rPr>
          </w:pPr>
          <w:bookmarkStart w:id="0" w:name="_Toc25819"/>
          <w:bookmarkEnd w:id="0"/>
          <w:bookmarkStart w:id="1" w:name="_Toc20332"/>
          <w:bookmarkStart w:id="2" w:name="_Toc19464"/>
          <w:r>
            <w:rPr>
              <w:rStyle w:val="21"/>
              <w:b/>
            </w:rPr>
            <w:t>目</w:t>
          </w:r>
          <w:r>
            <w:rPr>
              <w:rStyle w:val="21"/>
              <w:rFonts w:hint="eastAsia"/>
              <w:b/>
              <w:lang w:val="en-US" w:eastAsia="zh-CN"/>
            </w:rPr>
            <w:t xml:space="preserve">  </w:t>
          </w:r>
          <w:r>
            <w:rPr>
              <w:rStyle w:val="21"/>
              <w:b/>
            </w:rPr>
            <w:t>录</w:t>
          </w:r>
          <w:bookmarkEnd w:id="1"/>
          <w:r>
            <w:rPr>
              <w:rFonts w:hint="eastAsia" w:ascii="Arial" w:hAnsi="Arial" w:eastAsia="黑体"/>
              <w:b/>
              <w:sz w:val="32"/>
            </w:rPr>
            <w:fldChar w:fldCharType="begin"/>
          </w:r>
          <w:r>
            <w:rPr>
              <w:rFonts w:hint="eastAsia" w:ascii="Arial" w:hAnsi="Arial" w:eastAsia="黑体"/>
              <w:b/>
              <w:sz w:val="32"/>
            </w:rPr>
            <w:instrText xml:space="preserve">TOC \o "1-2" \h \u </w:instrText>
          </w:r>
          <w:r>
            <w:rPr>
              <w:rFonts w:hint="eastAsia" w:ascii="Arial" w:hAnsi="Arial" w:eastAsia="黑体"/>
              <w:b/>
              <w:sz w:val="32"/>
            </w:rPr>
            <w:fldChar w:fldCharType="separate"/>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"_一、配质清单"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一、配质清单</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_Toc20060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"_二、技术参数："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二、技术参数：</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_Toc20134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"_三、公司简介："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三、公司简介：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_Toc15979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"_四、公司资质与产品展示"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四、公司资质与产品展示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_Toc9567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"_五、蒸汽锅炉简介及特点"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五、 蒸汽锅炉简介及特点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_Toc29994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"_1、系统概述及范围"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1</w:t>
          </w:r>
          <w:r>
            <w:rPr>
              <w:rStyle w:val="14"/>
              <w:rFonts w:hint="eastAsia" w:ascii="黑体" w:hAnsi="黑体" w:eastAsia="黑体" w:cs="黑体"/>
              <w:b/>
              <w:bCs/>
              <w:sz w:val="24"/>
              <w:szCs w:val="32"/>
            </w:rPr>
            <w:t>、系统概述及范围</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_Toc16772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"_2、结构简介"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2</w:t>
          </w:r>
          <w:r>
            <w:rPr>
              <w:rStyle w:val="14"/>
              <w:rFonts w:hint="eastAsia" w:ascii="黑体" w:hAnsi="黑体" w:eastAsia="黑体" w:cs="黑体"/>
              <w:b/>
              <w:bCs/>
              <w:sz w:val="24"/>
              <w:szCs w:val="32"/>
            </w:rPr>
            <w:t>、结构简介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"_3、性能特点"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3</w:t>
          </w:r>
          <w:r>
            <w:rPr>
              <w:rStyle w:val="14"/>
              <w:rFonts w:hint="eastAsia" w:ascii="黑体" w:hAnsi="黑体" w:eastAsia="黑体" w:cs="黑体"/>
              <w:b/>
              <w:bCs/>
              <w:sz w:val="24"/>
              <w:szCs w:val="32"/>
            </w:rPr>
            <w:t>、性能特点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_Toc13346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"_4、设计燃料要求："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4、设计燃料要求：</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_Toc7888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"_5、自动控制安全保护"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5、</w:t>
          </w:r>
          <w:r>
            <w:rPr>
              <w:rStyle w:val="14"/>
              <w:rFonts w:hint="eastAsia" w:ascii="黑体" w:hAnsi="黑体" w:eastAsia="黑体" w:cs="黑体"/>
              <w:b/>
              <w:bCs/>
              <w:sz w:val="24"/>
              <w:szCs w:val="32"/>
            </w:rPr>
            <w:t>自动控制安全保护</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_Toc2051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"_6、自动保护装置"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6、</w:t>
          </w:r>
          <w:r>
            <w:rPr>
              <w:rStyle w:val="14"/>
              <w:rFonts w:hint="eastAsia" w:ascii="黑体" w:hAnsi="黑体" w:eastAsia="黑体" w:cs="黑体"/>
              <w:b/>
              <w:bCs/>
              <w:sz w:val="24"/>
              <w:szCs w:val="32"/>
            </w:rPr>
            <w:t>自动保护装置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_Toc7849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"_7、主要设计依据"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7</w:t>
          </w:r>
          <w:r>
            <w:rPr>
              <w:rStyle w:val="14"/>
              <w:rFonts w:hint="eastAsia" w:ascii="黑体" w:hAnsi="黑体" w:eastAsia="黑体" w:cs="黑体"/>
              <w:b/>
              <w:bCs/>
              <w:sz w:val="24"/>
              <w:szCs w:val="32"/>
            </w:rPr>
            <w:t>、主要设计依据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_Toc14886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"_六、客户来访"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六、客户来访</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_Toc1742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19</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"_七、设备支持"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七、设备支持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_Toc19245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20</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"_八、安全、质量保证措施"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八、安全、质量保证措施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_Toc10238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"_1、安全保证措施"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1、安全保证措施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_Toc22766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_Toc24681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"_九、售后服务承诺"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九、售后服务承诺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_Toc27077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"_1、服务体系"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1、服务体系</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_Toc25148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"_2、售前服务"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2、售前服务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_Toc8038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"_3、售后服务"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3、售后服务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_Toc1965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"_4、规范化的服务标准"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4、规范化的服务标准</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_Toc30005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"_5、星级服务1、2、3、4模式"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5、星级服务1、2、3、4模式</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_Toc26737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"_6、技术服务与联络"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6、技术服务与联络</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_Toc3701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"_7、组织保证"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7、组织保证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_Toc17331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"_十、厂区环境"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十、厂区环境</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_Toc31432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25</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8"/>
            <w:tabs>
              <w:tab w:val="right" w:leader="dot" w:pos="9746"/>
            </w:tabs>
            <w:spacing w:line="360" w:lineRule="auto"/>
            <w:rPr>
              <w:rFonts w:hint="eastAsia" w:ascii="黑体" w:hAnsi="黑体" w:eastAsia="黑体" w:cs="黑体"/>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"_十一、公司寄语"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十一、公司寄语</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_Toc11023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28</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bidi w:val="0"/>
            <w:spacing w:line="360" w:lineRule="auto"/>
            <w:jc w:val="both"/>
            <w:outlineLvl w:val="9"/>
            <w:rPr>
              <w:rFonts w:hint="eastAsia" w:ascii="Arial" w:hAnsi="Arial" w:eastAsia="黑体"/>
              <w:b/>
              <w:sz w:val="32"/>
            </w:rPr>
          </w:pPr>
          <w:r>
            <w:rPr>
              <w:rFonts w:hint="eastAsia" w:ascii="Arial" w:hAnsi="Arial" w:eastAsia="黑体"/>
            </w:rPr>
            <w:fldChar w:fldCharType="end"/>
          </w:r>
        </w:p>
      </w:sdtContent>
    </w:sdt>
    <w:p>
      <w:pPr>
        <w:pStyle w:val="4"/>
        <w:bidi w:val="0"/>
        <w:rPr>
          <w:rFonts w:hint="eastAsia" w:ascii="黑体" w:hAnsi="黑体" w:eastAsia="黑体" w:cs="黑体"/>
          <w:b/>
          <w:bCs w:val="0"/>
        </w:rPr>
      </w:pPr>
      <w:bookmarkStart w:id="3" w:name="_Toc20060"/>
      <w:bookmarkStart w:id="4" w:name="_一、配质清单"/>
      <w:r>
        <w:rPr>
          <w:rFonts w:hint="eastAsia" w:ascii="黑体" w:hAnsi="黑体" w:eastAsia="黑体" w:cs="黑体"/>
          <w:b/>
          <w:bCs w:val="0"/>
        </w:rPr>
        <w:t>一、配质清单</w:t>
      </w:r>
      <w:bookmarkEnd w:id="2"/>
      <w:bookmarkEnd w:id="3"/>
    </w:p>
    <w:bookmarkEnd w:id="4"/>
    <w:p>
      <w:pPr>
        <w:spacing w:line="520" w:lineRule="exact"/>
        <w:jc w:val="center"/>
        <w:rPr>
          <w:rFonts w:ascii="宋体" w:hAnsi="宋体" w:eastAsiaTheme="minorEastAsia"/>
          <w:b/>
          <w:bCs/>
          <w:sz w:val="32"/>
          <w:szCs w:val="32"/>
        </w:rPr>
      </w:pPr>
      <w:r>
        <w:rPr>
          <w:rFonts w:hint="eastAsia" w:ascii="宋体" w:hAnsi="宋体"/>
          <w:b/>
          <w:bCs/>
          <w:sz w:val="32"/>
          <w:szCs w:val="32"/>
          <w:lang w:val="en-US" w:eastAsia="zh-CN"/>
        </w:rPr>
        <w:t>WNS10.0-1.25-YQ</w:t>
      </w:r>
      <w:r>
        <w:rPr>
          <w:rFonts w:hint="eastAsia" w:ascii="宋体" w:hAnsi="宋体"/>
          <w:b/>
          <w:bCs/>
          <w:sz w:val="32"/>
          <w:szCs w:val="32"/>
        </w:rPr>
        <w:t>卧式</w:t>
      </w:r>
      <w:r>
        <w:rPr>
          <w:rFonts w:hint="eastAsia" w:ascii="宋体" w:hAnsi="宋体"/>
          <w:b/>
          <w:bCs/>
          <w:sz w:val="32"/>
          <w:szCs w:val="32"/>
          <w:lang w:val="en-US" w:eastAsia="zh-CN"/>
        </w:rPr>
        <w:t>低氮冷凝燃油气</w:t>
      </w:r>
      <w:r>
        <w:rPr>
          <w:rFonts w:hint="eastAsia" w:ascii="宋体" w:hAnsi="宋体"/>
          <w:b/>
          <w:bCs/>
          <w:sz w:val="32"/>
          <w:szCs w:val="32"/>
        </w:rPr>
        <w:t>蒸汽锅炉标准配置单</w:t>
      </w:r>
    </w:p>
    <w:tbl>
      <w:tblPr>
        <w:tblStyle w:val="11"/>
        <w:tblW w:w="10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033"/>
        <w:gridCol w:w="3395"/>
        <w:gridCol w:w="707"/>
        <w:gridCol w:w="814"/>
        <w:gridCol w:w="158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b/>
                <w:bCs/>
                <w:sz w:val="22"/>
                <w:szCs w:val="22"/>
                <w:highlight w:val="none"/>
              </w:rPr>
            </w:pPr>
            <w:bookmarkStart w:id="5" w:name="_Toc18567"/>
            <w:bookmarkStart w:id="6" w:name="_Toc20134"/>
            <w:bookmarkStart w:id="7" w:name="_二、技术参数："/>
            <w:r>
              <w:rPr>
                <w:rFonts w:hint="eastAsia" w:ascii="宋体" w:hAnsi="宋体"/>
                <w:b/>
                <w:bCs/>
                <w:sz w:val="22"/>
                <w:szCs w:val="22"/>
                <w:highlight w:val="none"/>
              </w:rPr>
              <w:t>序号</w:t>
            </w:r>
          </w:p>
        </w:tc>
        <w:tc>
          <w:tcPr>
            <w:tcW w:w="2033"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产品名称</w:t>
            </w:r>
          </w:p>
        </w:tc>
        <w:tc>
          <w:tcPr>
            <w:tcW w:w="3395" w:type="dxa"/>
            <w:noWrap w:val="0"/>
            <w:vAlign w:val="center"/>
          </w:tcPr>
          <w:p>
            <w:pPr>
              <w:jc w:val="center"/>
              <w:rPr>
                <w:rFonts w:hint="default" w:ascii="宋体" w:hAnsi="宋体" w:eastAsiaTheme="minorEastAsia"/>
                <w:b/>
                <w:bCs/>
                <w:sz w:val="22"/>
                <w:szCs w:val="22"/>
                <w:highlight w:val="none"/>
                <w:lang w:val="en-US" w:eastAsia="zh-CN"/>
              </w:rPr>
            </w:pPr>
            <w:r>
              <w:rPr>
                <w:rFonts w:hint="eastAsia" w:ascii="宋体" w:hAnsi="宋体"/>
                <w:b/>
                <w:bCs/>
                <w:sz w:val="22"/>
                <w:szCs w:val="22"/>
                <w:highlight w:val="none"/>
              </w:rPr>
              <w:t>产品型号</w:t>
            </w:r>
            <w:r>
              <w:rPr>
                <w:rFonts w:hint="eastAsia" w:ascii="宋体" w:hAnsi="宋体"/>
                <w:b/>
                <w:bCs/>
                <w:sz w:val="22"/>
                <w:szCs w:val="22"/>
                <w:highlight w:val="none"/>
                <w:lang w:val="en-US" w:eastAsia="zh-CN"/>
              </w:rPr>
              <w:t>/规格</w:t>
            </w:r>
          </w:p>
        </w:tc>
        <w:tc>
          <w:tcPr>
            <w:tcW w:w="707"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单位</w:t>
            </w:r>
          </w:p>
        </w:tc>
        <w:tc>
          <w:tcPr>
            <w:tcW w:w="814"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数量</w:t>
            </w:r>
          </w:p>
        </w:tc>
        <w:tc>
          <w:tcPr>
            <w:tcW w:w="1581"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产地</w:t>
            </w:r>
            <w:r>
              <w:rPr>
                <w:rFonts w:hint="eastAsia" w:ascii="宋体" w:hAnsi="宋体" w:eastAsia="宋体" w:cs="宋体"/>
                <w:b/>
                <w:bCs/>
                <w:sz w:val="22"/>
                <w:szCs w:val="22"/>
                <w:highlight w:val="none"/>
              </w:rPr>
              <w:t>·</w:t>
            </w:r>
            <w:r>
              <w:rPr>
                <w:rFonts w:hint="eastAsia" w:ascii="宋体" w:hAnsi="宋体"/>
                <w:b/>
                <w:bCs/>
                <w:sz w:val="22"/>
                <w:szCs w:val="22"/>
                <w:highlight w:val="none"/>
              </w:rPr>
              <w:t>品牌</w:t>
            </w:r>
          </w:p>
        </w:tc>
        <w:tc>
          <w:tcPr>
            <w:tcW w:w="1566"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一</w:t>
            </w:r>
          </w:p>
        </w:tc>
        <w:tc>
          <w:tcPr>
            <w:tcW w:w="2033"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lang w:val="en-US" w:eastAsia="zh-CN"/>
              </w:rPr>
              <w:t>锅炉</w:t>
            </w:r>
            <w:r>
              <w:rPr>
                <w:rFonts w:hint="eastAsia" w:ascii="宋体" w:hAnsi="宋体"/>
                <w:sz w:val="22"/>
                <w:szCs w:val="22"/>
                <w:highlight w:val="none"/>
              </w:rPr>
              <w:t>主机</w:t>
            </w:r>
          </w:p>
        </w:tc>
        <w:tc>
          <w:tcPr>
            <w:tcW w:w="3395" w:type="dxa"/>
            <w:noWrap w:val="0"/>
            <w:vAlign w:val="center"/>
          </w:tcPr>
          <w:p>
            <w:pPr>
              <w:spacing w:line="300" w:lineRule="exact"/>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r>
              <w:rPr>
                <w:rFonts w:hint="eastAsia" w:ascii="宋体" w:hAnsi="宋体"/>
                <w:sz w:val="22"/>
                <w:szCs w:val="22"/>
                <w:highlight w:val="none"/>
                <w:lang w:val="en-US" w:eastAsia="zh-CN"/>
              </w:rPr>
              <w:t xml:space="preserve">  10t/h  1.25Mpa</w:t>
            </w:r>
          </w:p>
        </w:tc>
        <w:tc>
          <w:tcPr>
            <w:tcW w:w="707"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581" w:type="dxa"/>
            <w:noWrap w:val="0"/>
            <w:vAlign w:val="center"/>
          </w:tcPr>
          <w:p>
            <w:pPr>
              <w:spacing w:line="300" w:lineRule="exact"/>
              <w:jc w:val="center"/>
              <w:rPr>
                <w:rFonts w:hint="eastAsia" w:ascii="宋体" w:hAnsi="宋体" w:eastAsiaTheme="minorEastAsia"/>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含平台/扶梯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二</w:t>
            </w:r>
          </w:p>
        </w:tc>
        <w:tc>
          <w:tcPr>
            <w:tcW w:w="2033"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燃烧器</w:t>
            </w:r>
          </w:p>
        </w:tc>
        <w:tc>
          <w:tcPr>
            <w:tcW w:w="3395" w:type="dxa"/>
            <w:noWrap w:val="0"/>
            <w:vAlign w:val="center"/>
          </w:tcPr>
          <w:p>
            <w:pPr>
              <w:jc w:val="center"/>
              <w:rPr>
                <w:rFonts w:hint="default" w:ascii="宋体" w:hAnsi="宋体" w:eastAsiaTheme="minorEastAsia"/>
                <w:spacing w:val="-20"/>
                <w:sz w:val="22"/>
                <w:szCs w:val="22"/>
                <w:highlight w:val="none"/>
                <w:lang w:val="en-US" w:eastAsia="zh-CN"/>
              </w:rPr>
            </w:pPr>
            <w:r>
              <w:rPr>
                <w:rFonts w:hint="eastAsia" w:ascii="宋体" w:hAnsi="宋体"/>
                <w:sz w:val="22"/>
                <w:szCs w:val="22"/>
                <w:highlight w:val="none"/>
                <w:lang w:val="en-US" w:eastAsia="zh-CN"/>
              </w:rPr>
              <w:t>10T标配</w:t>
            </w:r>
          </w:p>
        </w:tc>
        <w:tc>
          <w:tcPr>
            <w:tcW w:w="707"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581" w:type="dxa"/>
            <w:noWrap w:val="0"/>
            <w:vAlign w:val="center"/>
          </w:tcPr>
          <w:p>
            <w:pPr>
              <w:spacing w:line="300" w:lineRule="exact"/>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购销配套</w:t>
            </w:r>
          </w:p>
        </w:tc>
        <w:tc>
          <w:tcPr>
            <w:tcW w:w="1566"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cs="宋体"/>
                <w:kern w:val="2"/>
                <w:sz w:val="22"/>
                <w:szCs w:val="22"/>
                <w:lang w:val="en-US" w:eastAsia="zh-CN" w:bidi="ar-SA"/>
              </w:rPr>
              <w:t>排放低氮30毫克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三</w:t>
            </w:r>
          </w:p>
        </w:tc>
        <w:tc>
          <w:tcPr>
            <w:tcW w:w="2033" w:type="dxa"/>
            <w:noWrap w:val="0"/>
            <w:vAlign w:val="center"/>
          </w:tcPr>
          <w:p>
            <w:pPr>
              <w:spacing w:line="300" w:lineRule="exact"/>
              <w:jc w:val="center"/>
              <w:rPr>
                <w:rFonts w:hint="eastAsia" w:ascii="宋体" w:hAnsi="宋体" w:eastAsiaTheme="minorEastAsia"/>
                <w:sz w:val="22"/>
                <w:szCs w:val="22"/>
                <w:highlight w:val="none"/>
                <w:lang w:eastAsia="zh-CN"/>
              </w:rPr>
            </w:pPr>
            <w:r>
              <w:rPr>
                <w:rFonts w:hint="eastAsia" w:ascii="宋体" w:hAnsi="宋体"/>
                <w:sz w:val="22"/>
                <w:szCs w:val="22"/>
                <w:highlight w:val="none"/>
              </w:rPr>
              <w:t>控制</w:t>
            </w:r>
            <w:r>
              <w:rPr>
                <w:rFonts w:hint="eastAsia" w:ascii="宋体" w:hAnsi="宋体"/>
                <w:sz w:val="22"/>
                <w:szCs w:val="22"/>
                <w:highlight w:val="none"/>
                <w:lang w:val="en-US" w:eastAsia="zh-CN"/>
              </w:rPr>
              <w:t>系统</w:t>
            </w:r>
          </w:p>
        </w:tc>
        <w:tc>
          <w:tcPr>
            <w:tcW w:w="3395"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触摸彩屏/HXDK-10T</w:t>
            </w:r>
          </w:p>
        </w:tc>
        <w:tc>
          <w:tcPr>
            <w:tcW w:w="707"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5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宋体" w:cs="Times New Roman"/>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四</w:t>
            </w:r>
          </w:p>
        </w:tc>
        <w:tc>
          <w:tcPr>
            <w:tcW w:w="2033"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不锈钢给水泵</w:t>
            </w:r>
          </w:p>
        </w:tc>
        <w:tc>
          <w:tcPr>
            <w:tcW w:w="3395" w:type="dxa"/>
            <w:noWrap w:val="0"/>
            <w:vAlign w:val="center"/>
          </w:tcPr>
          <w:p>
            <w:pPr>
              <w:widowControl/>
              <w:spacing w:line="240" w:lineRule="auto"/>
              <w:ind w:firstLine="136" w:firstLineChars="62"/>
              <w:jc w:val="center"/>
              <w:textAlignment w:val="center"/>
              <w:rPr>
                <w:rFonts w:hint="default" w:ascii="宋体" w:hAnsi="宋体" w:eastAsia="宋体" w:cstheme="minorBidi"/>
                <w:spacing w:val="-20"/>
                <w:kern w:val="2"/>
                <w:sz w:val="22"/>
                <w:szCs w:val="22"/>
                <w:highlight w:val="none"/>
                <w:lang w:val="en-US" w:eastAsia="zh-CN" w:bidi="ar-SA"/>
              </w:rPr>
            </w:pPr>
            <w:r>
              <w:rPr>
                <w:rFonts w:hint="eastAsia" w:ascii="宋体" w:hAnsi="宋体"/>
                <w:color w:val="000000"/>
                <w:kern w:val="0"/>
                <w:sz w:val="22"/>
                <w:szCs w:val="22"/>
                <w:lang w:val="en-US" w:eastAsia="zh-CN"/>
              </w:rPr>
              <w:t>11.0</w:t>
            </w:r>
            <w:r>
              <w:rPr>
                <w:rFonts w:ascii="宋体" w:hAnsi="宋体"/>
                <w:color w:val="000000"/>
                <w:kern w:val="0"/>
                <w:sz w:val="22"/>
                <w:szCs w:val="22"/>
              </w:rPr>
              <w:t>KW</w:t>
            </w:r>
          </w:p>
        </w:tc>
        <w:tc>
          <w:tcPr>
            <w:tcW w:w="707"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14"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1</w:t>
            </w:r>
          </w:p>
        </w:tc>
        <w:tc>
          <w:tcPr>
            <w:tcW w:w="1581" w:type="dxa"/>
            <w:noWrap w:val="0"/>
            <w:vAlign w:val="center"/>
          </w:tcPr>
          <w:p>
            <w:pPr>
              <w:spacing w:line="300" w:lineRule="exact"/>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购销配套</w:t>
            </w:r>
          </w:p>
        </w:tc>
        <w:tc>
          <w:tcPr>
            <w:tcW w:w="1566"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五</w:t>
            </w:r>
          </w:p>
        </w:tc>
        <w:tc>
          <w:tcPr>
            <w:tcW w:w="2033"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烟气</w:t>
            </w:r>
            <w:r>
              <w:rPr>
                <w:rFonts w:hint="eastAsia" w:ascii="宋体" w:hAnsi="宋体"/>
                <w:sz w:val="22"/>
                <w:szCs w:val="22"/>
                <w:highlight w:val="none"/>
              </w:rPr>
              <w:t>节能器</w:t>
            </w:r>
          </w:p>
        </w:tc>
        <w:tc>
          <w:tcPr>
            <w:tcW w:w="3395"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JNQ-</w:t>
            </w:r>
            <w:r>
              <w:rPr>
                <w:rFonts w:hint="eastAsia" w:ascii="宋体" w:hAnsi="宋体"/>
                <w:sz w:val="22"/>
                <w:szCs w:val="22"/>
                <w:highlight w:val="none"/>
                <w:lang w:val="en-US" w:eastAsia="zh-CN"/>
              </w:rPr>
              <w:t>10</w:t>
            </w:r>
          </w:p>
        </w:tc>
        <w:tc>
          <w:tcPr>
            <w:tcW w:w="707"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六</w:t>
            </w:r>
          </w:p>
        </w:tc>
        <w:tc>
          <w:tcPr>
            <w:tcW w:w="203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分气缸</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Φ500</w:t>
            </w:r>
          </w:p>
        </w:tc>
        <w:tc>
          <w:tcPr>
            <w:tcW w:w="707"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台</w:t>
            </w:r>
          </w:p>
        </w:tc>
        <w:tc>
          <w:tcPr>
            <w:tcW w:w="814"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1</w:t>
            </w:r>
          </w:p>
        </w:tc>
        <w:tc>
          <w:tcPr>
            <w:tcW w:w="1581"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七</w:t>
            </w:r>
          </w:p>
        </w:tc>
        <w:tc>
          <w:tcPr>
            <w:tcW w:w="203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水处理</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rPr>
              <w:t>SCL-</w:t>
            </w:r>
            <w:r>
              <w:rPr>
                <w:rFonts w:hint="eastAsia" w:ascii="宋体" w:hAnsi="宋体"/>
                <w:sz w:val="22"/>
                <w:szCs w:val="22"/>
                <w:highlight w:val="none"/>
                <w:lang w:val="en-US" w:eastAsia="zh-CN"/>
              </w:rPr>
              <w:t>10.0T/h</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套</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河南润新</w:t>
            </w:r>
          </w:p>
        </w:tc>
        <w:tc>
          <w:tcPr>
            <w:tcW w:w="1566"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rPr>
              <w:t>八</w:t>
            </w:r>
          </w:p>
        </w:tc>
        <w:tc>
          <w:tcPr>
            <w:tcW w:w="2033"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烟囱</w:t>
            </w:r>
          </w:p>
        </w:tc>
        <w:tc>
          <w:tcPr>
            <w:tcW w:w="3395"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Φ</w:t>
            </w:r>
            <w:r>
              <w:rPr>
                <w:rFonts w:hint="eastAsia" w:ascii="宋体" w:hAnsi="宋体"/>
                <w:sz w:val="22"/>
                <w:szCs w:val="22"/>
                <w:highlight w:val="none"/>
                <w:lang w:val="en-US" w:eastAsia="zh-CN"/>
              </w:rPr>
              <w:t>800</w:t>
            </w:r>
          </w:p>
        </w:tc>
        <w:tc>
          <w:tcPr>
            <w:tcW w:w="707"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米</w:t>
            </w:r>
          </w:p>
        </w:tc>
        <w:tc>
          <w:tcPr>
            <w:tcW w:w="814"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9</w:t>
            </w:r>
          </w:p>
        </w:tc>
        <w:tc>
          <w:tcPr>
            <w:tcW w:w="15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九</w:t>
            </w:r>
          </w:p>
        </w:tc>
        <w:tc>
          <w:tcPr>
            <w:tcW w:w="2033" w:type="dxa"/>
            <w:noWrap w:val="0"/>
            <w:vAlign w:val="center"/>
          </w:tcPr>
          <w:p>
            <w:pPr>
              <w:jc w:val="center"/>
              <w:rPr>
                <w:rFonts w:hint="eastAsia" w:ascii="宋体" w:hAnsi="宋体"/>
                <w:sz w:val="22"/>
                <w:szCs w:val="22"/>
                <w:highlight w:val="none"/>
              </w:rPr>
            </w:pPr>
            <w:r>
              <w:rPr>
                <w:rFonts w:hint="eastAsia" w:ascii="宋体" w:hAnsi="宋体"/>
                <w:sz w:val="24"/>
                <w:szCs w:val="24"/>
                <w:highlight w:val="none"/>
                <w:lang w:eastAsia="zh-CN"/>
              </w:rPr>
              <w:t>烟道</w:t>
            </w:r>
            <w:r>
              <w:rPr>
                <w:rFonts w:hint="eastAsia" w:ascii="宋体" w:hAnsi="宋体"/>
                <w:sz w:val="24"/>
                <w:szCs w:val="24"/>
                <w:highlight w:val="none"/>
                <w:lang w:val="en-US" w:eastAsia="zh-CN"/>
              </w:rPr>
              <w:t>弯头</w:t>
            </w:r>
          </w:p>
        </w:tc>
        <w:tc>
          <w:tcPr>
            <w:tcW w:w="3395" w:type="dxa"/>
            <w:noWrap w:val="0"/>
            <w:vAlign w:val="center"/>
          </w:tcPr>
          <w:p>
            <w:pPr>
              <w:jc w:val="center"/>
              <w:rPr>
                <w:rFonts w:hint="eastAsia" w:ascii="宋体" w:hAnsi="宋体"/>
                <w:sz w:val="22"/>
                <w:szCs w:val="22"/>
                <w:highlight w:val="none"/>
              </w:rPr>
            </w:pPr>
            <w:r>
              <w:rPr>
                <w:rFonts w:hint="eastAsia" w:ascii="宋体" w:hAnsi="宋体"/>
                <w:sz w:val="24"/>
                <w:szCs w:val="24"/>
                <w:highlight w:val="none"/>
                <w:lang w:eastAsia="zh-CN"/>
              </w:rPr>
              <w:t>主机配套</w:t>
            </w:r>
          </w:p>
        </w:tc>
        <w:tc>
          <w:tcPr>
            <w:tcW w:w="707" w:type="dxa"/>
            <w:noWrap w:val="0"/>
            <w:vAlign w:val="center"/>
          </w:tcPr>
          <w:p>
            <w:pPr>
              <w:jc w:val="center"/>
              <w:rPr>
                <w:rFonts w:hint="eastAsia" w:ascii="宋体" w:hAnsi="宋体"/>
                <w:sz w:val="22"/>
                <w:szCs w:val="22"/>
                <w:highlight w:val="none"/>
                <w:lang w:val="en-US" w:eastAsia="zh-CN"/>
              </w:rPr>
            </w:pPr>
            <w:r>
              <w:rPr>
                <w:rFonts w:hint="eastAsia" w:ascii="宋体" w:hAnsi="宋体"/>
                <w:sz w:val="24"/>
                <w:szCs w:val="24"/>
                <w:highlight w:val="none"/>
                <w:lang w:val="en-US" w:eastAsia="zh-CN"/>
              </w:rPr>
              <w:t>个</w:t>
            </w:r>
          </w:p>
        </w:tc>
        <w:tc>
          <w:tcPr>
            <w:tcW w:w="814" w:type="dxa"/>
            <w:noWrap w:val="0"/>
            <w:vAlign w:val="center"/>
          </w:tcPr>
          <w:p>
            <w:pPr>
              <w:jc w:val="center"/>
              <w:rPr>
                <w:rFonts w:hint="eastAsia" w:ascii="宋体" w:hAnsi="宋体"/>
                <w:sz w:val="22"/>
                <w:szCs w:val="22"/>
                <w:highlight w:val="none"/>
                <w:lang w:val="en-US" w:eastAsia="zh-CN"/>
              </w:rPr>
            </w:pPr>
            <w:r>
              <w:rPr>
                <w:rFonts w:hint="eastAsia" w:ascii="宋体" w:hAnsi="宋体"/>
                <w:sz w:val="24"/>
                <w:szCs w:val="24"/>
                <w:highlight w:val="none"/>
                <w:lang w:val="en-US" w:eastAsia="zh-CN"/>
              </w:rPr>
              <w:t>1</w:t>
            </w:r>
          </w:p>
        </w:tc>
        <w:tc>
          <w:tcPr>
            <w:tcW w:w="1581" w:type="dxa"/>
            <w:noWrap w:val="0"/>
            <w:vAlign w:val="center"/>
          </w:tcPr>
          <w:p>
            <w:pPr>
              <w:jc w:val="center"/>
              <w:rPr>
                <w:rFonts w:hint="eastAsia" w:ascii="宋体" w:hAnsi="宋体"/>
                <w:sz w:val="22"/>
                <w:szCs w:val="22"/>
                <w:highlight w:val="none"/>
                <w:lang w:eastAsia="zh-CN"/>
              </w:rPr>
            </w:pPr>
            <w:r>
              <w:rPr>
                <w:rFonts w:hint="eastAsia" w:ascii="宋体" w:hAnsi="宋体"/>
                <w:sz w:val="24"/>
                <w:szCs w:val="24"/>
                <w:highlight w:val="none"/>
                <w:lang w:eastAsia="zh-CN"/>
              </w:rPr>
              <w:t>河南恒信</w:t>
            </w:r>
          </w:p>
        </w:tc>
        <w:tc>
          <w:tcPr>
            <w:tcW w:w="1566" w:type="dxa"/>
            <w:noWrap w:val="0"/>
            <w:vAlign w:val="center"/>
          </w:tcPr>
          <w:p>
            <w:pPr>
              <w:jc w:val="center"/>
              <w:rPr>
                <w:rFonts w:hint="eastAsia" w:ascii="宋体" w:hAnsi="宋体"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十</w:t>
            </w:r>
          </w:p>
        </w:tc>
        <w:tc>
          <w:tcPr>
            <w:tcW w:w="2033"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冷凝器</w:t>
            </w:r>
          </w:p>
        </w:tc>
        <w:tc>
          <w:tcPr>
            <w:tcW w:w="3395" w:type="dxa"/>
            <w:noWrap w:val="0"/>
            <w:vAlign w:val="center"/>
          </w:tcPr>
          <w:p>
            <w:pPr>
              <w:jc w:val="center"/>
              <w:rPr>
                <w:rFonts w:hint="eastAsia" w:ascii="宋体" w:hAnsi="宋体"/>
                <w:sz w:val="24"/>
                <w:szCs w:val="24"/>
                <w:highlight w:val="none"/>
                <w:lang w:eastAsia="zh-CN"/>
              </w:rPr>
            </w:pPr>
            <w:r>
              <w:rPr>
                <w:rFonts w:hint="eastAsia" w:ascii="宋体" w:hAnsi="宋体"/>
                <w:sz w:val="24"/>
                <w:szCs w:val="24"/>
                <w:highlight w:val="none"/>
                <w:lang w:eastAsia="zh-CN"/>
              </w:rPr>
              <w:t>配套</w:t>
            </w:r>
          </w:p>
        </w:tc>
        <w:tc>
          <w:tcPr>
            <w:tcW w:w="707" w:type="dxa"/>
            <w:noWrap w:val="0"/>
            <w:vAlign w:val="center"/>
          </w:tcPr>
          <w:p>
            <w:pPr>
              <w:spacing w:line="300" w:lineRule="exact"/>
              <w:jc w:val="center"/>
              <w:rPr>
                <w:rFonts w:hint="eastAsia" w:ascii="宋体" w:hAnsi="宋体"/>
                <w:sz w:val="24"/>
                <w:szCs w:val="24"/>
                <w:highlight w:val="none"/>
                <w:lang w:val="en-US" w:eastAsia="zh-CN"/>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sz w:val="24"/>
                <w:szCs w:val="24"/>
                <w:highlight w:val="none"/>
                <w:lang w:val="en-US" w:eastAsia="zh-CN"/>
              </w:rPr>
            </w:pPr>
            <w:r>
              <w:rPr>
                <w:rFonts w:hint="eastAsia" w:ascii="宋体" w:hAnsi="宋体"/>
                <w:sz w:val="22"/>
                <w:szCs w:val="22"/>
                <w:highlight w:val="none"/>
              </w:rPr>
              <w:t>1</w:t>
            </w:r>
          </w:p>
        </w:tc>
        <w:tc>
          <w:tcPr>
            <w:tcW w:w="1581"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sz w:val="22"/>
                <w:szCs w:val="22"/>
                <w:highlight w:val="none"/>
                <w:lang w:val="en-US" w:eastAsia="zh-CN"/>
              </w:rPr>
              <w:t>购销配套</w:t>
            </w:r>
          </w:p>
        </w:tc>
        <w:tc>
          <w:tcPr>
            <w:tcW w:w="1566" w:type="dxa"/>
            <w:noWrap w:val="0"/>
            <w:vAlign w:val="center"/>
          </w:tcPr>
          <w:p>
            <w:pPr>
              <w:jc w:val="center"/>
              <w:rPr>
                <w:rFonts w:hint="eastAsia" w:ascii="宋体" w:hAnsi="宋体"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宋体"/>
                <w:sz w:val="22"/>
                <w:szCs w:val="22"/>
                <w:highlight w:val="none"/>
                <w:lang w:eastAsia="zh-CN"/>
              </w:rPr>
            </w:pPr>
            <w:r>
              <w:rPr>
                <w:rFonts w:hint="eastAsia" w:ascii="宋体" w:hAnsi="宋体" w:cstheme="minorBidi"/>
                <w:kern w:val="2"/>
                <w:sz w:val="22"/>
                <w:szCs w:val="22"/>
                <w:highlight w:val="none"/>
                <w:lang w:val="en-US" w:eastAsia="zh-CN" w:bidi="ar-SA"/>
              </w:rPr>
              <w:t>十一</w:t>
            </w:r>
          </w:p>
        </w:tc>
        <w:tc>
          <w:tcPr>
            <w:tcW w:w="8530" w:type="dxa"/>
            <w:gridSpan w:val="5"/>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配套仪表阀门</w:t>
            </w:r>
          </w:p>
        </w:tc>
        <w:tc>
          <w:tcPr>
            <w:tcW w:w="1566" w:type="dxa"/>
            <w:noWrap w:val="0"/>
            <w:vAlign w:val="center"/>
          </w:tcPr>
          <w:p>
            <w:pPr>
              <w:jc w:val="center"/>
              <w:rPr>
                <w:rFonts w:hint="eastAsia"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三通旋塞阀</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HX-16/DN15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河南</w:t>
            </w:r>
            <w:r>
              <w:rPr>
                <w:rFonts w:hint="eastAsia" w:ascii="宋体" w:hAnsi="宋体"/>
                <w:sz w:val="22"/>
                <w:szCs w:val="22"/>
                <w:highlight w:val="none"/>
              </w:rPr>
              <w:t>郑州</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2033"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压力表</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Y-150/0~2.5MPa   1.6级</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块</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杭州富阳</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3</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压力表存水弯管</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厂标/DN15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4</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压力控制器</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KP-35/1.0~1.6Mpa</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丹弗斯</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5</w:t>
            </w:r>
          </w:p>
        </w:tc>
        <w:tc>
          <w:tcPr>
            <w:tcW w:w="2033"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 xml:space="preserve">截止阀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PN1.6/DN150</w:t>
            </w:r>
          </w:p>
        </w:tc>
        <w:tc>
          <w:tcPr>
            <w:tcW w:w="707"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主汽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6</w:t>
            </w:r>
          </w:p>
        </w:tc>
        <w:tc>
          <w:tcPr>
            <w:tcW w:w="2033"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 xml:space="preserve">截止阀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PN1.6/DN50</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14"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1</w:t>
            </w:r>
          </w:p>
        </w:tc>
        <w:tc>
          <w:tcPr>
            <w:tcW w:w="1581"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7</w:t>
            </w:r>
          </w:p>
        </w:tc>
        <w:tc>
          <w:tcPr>
            <w:tcW w:w="2033" w:type="dxa"/>
            <w:noWrap w:val="0"/>
            <w:vAlign w:val="center"/>
          </w:tcPr>
          <w:p>
            <w:pPr>
              <w:ind w:firstLine="220" w:firstLineChars="100"/>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 xml:space="preserve">安全阀 </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A48H-16C PN1.6/DN80</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8</w:t>
            </w:r>
          </w:p>
        </w:tc>
        <w:tc>
          <w:tcPr>
            <w:tcW w:w="2033"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对夹式</w:t>
            </w:r>
            <w:r>
              <w:rPr>
                <w:rFonts w:hint="eastAsia" w:ascii="宋体" w:hAnsi="宋体"/>
                <w:sz w:val="22"/>
                <w:szCs w:val="22"/>
                <w:highlight w:val="none"/>
              </w:rPr>
              <w:t xml:space="preserve">止回阀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H14W-16P PN1.6/DN50</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郑州吉通</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9</w:t>
            </w:r>
          </w:p>
        </w:tc>
        <w:tc>
          <w:tcPr>
            <w:tcW w:w="2033"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球式</w:t>
            </w:r>
            <w:r>
              <w:rPr>
                <w:rFonts w:hint="eastAsia" w:ascii="宋体" w:hAnsi="宋体"/>
                <w:sz w:val="22"/>
                <w:szCs w:val="22"/>
                <w:highlight w:val="none"/>
              </w:rPr>
              <w:t xml:space="preserve">排污阀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PQ41F-16 PN1.6/DN50</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10</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水位计</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DSKJ-IV/PN1.6/DN25</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件</w:t>
            </w:r>
          </w:p>
        </w:tc>
        <w:tc>
          <w:tcPr>
            <w:tcW w:w="814"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5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11</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水位控制器</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UQK-350/PN1.6/DN25</w:t>
            </w:r>
          </w:p>
        </w:tc>
        <w:tc>
          <w:tcPr>
            <w:tcW w:w="707"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12</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球阀</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PN1.6/DN25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4</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13</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螺丝螺母</w:t>
            </w:r>
          </w:p>
        </w:tc>
        <w:tc>
          <w:tcPr>
            <w:tcW w:w="339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M14×35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套</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20</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河南郑州</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eastAsiaTheme="minorEastAsia" w:cstheme="minorBidi"/>
                <w:kern w:val="2"/>
                <w:sz w:val="22"/>
                <w:szCs w:val="22"/>
                <w:highlight w:val="none"/>
                <w:lang w:val="en-US" w:eastAsia="zh-CN" w:bidi="ar-SA"/>
              </w:rPr>
              <w:t>十二</w:t>
            </w:r>
          </w:p>
        </w:tc>
        <w:tc>
          <w:tcPr>
            <w:tcW w:w="8530" w:type="dxa"/>
            <w:gridSpan w:val="5"/>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锅炉产品出厂</w:t>
            </w:r>
            <w:r>
              <w:rPr>
                <w:rFonts w:hint="eastAsia" w:ascii="宋体" w:hAnsi="宋体"/>
                <w:sz w:val="22"/>
                <w:szCs w:val="22"/>
                <w:highlight w:val="none"/>
                <w:lang w:eastAsia="zh-CN"/>
              </w:rPr>
              <w:t>随机技术资料</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1</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产品质量证明书</w:t>
            </w:r>
          </w:p>
        </w:tc>
        <w:tc>
          <w:tcPr>
            <w:tcW w:w="3395" w:type="dxa"/>
            <w:noWrap w:val="0"/>
            <w:vAlign w:val="center"/>
          </w:tcPr>
          <w:p>
            <w:pPr>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2</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安装使用说明书</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3</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制造许可证复印件</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4</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产品总装图</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5</w:t>
            </w:r>
          </w:p>
        </w:tc>
        <w:tc>
          <w:tcPr>
            <w:tcW w:w="2033"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产品本体图</w:t>
            </w:r>
          </w:p>
        </w:tc>
        <w:tc>
          <w:tcPr>
            <w:tcW w:w="3395"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6</w:t>
            </w:r>
          </w:p>
        </w:tc>
        <w:tc>
          <w:tcPr>
            <w:tcW w:w="2033"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产品管道仪表图</w:t>
            </w:r>
          </w:p>
        </w:tc>
        <w:tc>
          <w:tcPr>
            <w:tcW w:w="3395"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7</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产品地基图</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8</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计算结果汇总表</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9</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监督检验证书</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周口锅检</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10</w:t>
            </w:r>
          </w:p>
        </w:tc>
        <w:tc>
          <w:tcPr>
            <w:tcW w:w="203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规格指示铭牌</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lang w:val="en-US" w:eastAsia="zh-CN"/>
              </w:rPr>
              <w:t>个</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777" w:type="dxa"/>
            <w:gridSpan w:val="7"/>
            <w:noWrap w:val="0"/>
            <w:vAlign w:val="center"/>
          </w:tcPr>
          <w:p>
            <w:pPr>
              <w:jc w:val="center"/>
              <w:rPr>
                <w:rFonts w:hint="default" w:ascii="宋体" w:hAnsi="宋体" w:eastAsiaTheme="minorEastAsia"/>
                <w:sz w:val="22"/>
                <w:szCs w:val="22"/>
                <w:lang w:val="en-US" w:eastAsia="zh-CN"/>
              </w:rPr>
            </w:pPr>
            <w:r>
              <w:rPr>
                <w:rFonts w:hint="eastAsia" w:ascii="宋体" w:hAnsi="宋体"/>
                <w:sz w:val="21"/>
                <w:szCs w:val="21"/>
              </w:rPr>
              <w:t>以上全套总价合计</w:t>
            </w:r>
            <w:r>
              <w:rPr>
                <w:rFonts w:hint="eastAsia" w:ascii="宋体" w:hAnsi="宋体"/>
                <w:sz w:val="22"/>
                <w:szCs w:val="22"/>
                <w:lang w:val="en-US" w:eastAsia="zh-CN"/>
              </w:rPr>
              <w:t>：        元整（￥：     .00元）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777" w:type="dxa"/>
            <w:gridSpan w:val="7"/>
            <w:noWrap w:val="0"/>
            <w:vAlign w:val="center"/>
          </w:tcPr>
          <w:p>
            <w:pPr>
              <w:jc w:val="left"/>
              <w:rPr>
                <w:rFonts w:hint="eastAsia" w:ascii="宋体" w:hAnsi="宋体"/>
                <w:sz w:val="22"/>
                <w:szCs w:val="22"/>
              </w:rPr>
            </w:pPr>
            <w:r>
              <w:rPr>
                <w:rFonts w:hint="eastAsia" w:ascii="宋体" w:hAnsi="宋体"/>
                <w:sz w:val="22"/>
                <w:szCs w:val="22"/>
                <w:lang w:val="en-US" w:eastAsia="zh-CN"/>
              </w:rPr>
              <w:t>注：</w:t>
            </w: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t>二、技术参数：</w:t>
      </w:r>
      <w:bookmarkEnd w:id="5"/>
      <w:bookmarkEnd w:id="6"/>
    </w:p>
    <w:bookmarkEnd w:id="7"/>
    <w:tbl>
      <w:tblPr>
        <w:tblStyle w:val="11"/>
        <w:tblW w:w="103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165"/>
        <w:gridCol w:w="1525"/>
        <w:gridCol w:w="503"/>
        <w:gridCol w:w="1818"/>
        <w:gridCol w:w="203"/>
        <w:gridCol w:w="1516"/>
        <w:gridCol w:w="1060"/>
        <w:gridCol w:w="218"/>
        <w:gridCol w:w="811"/>
        <w:gridCol w:w="786"/>
        <w:gridCol w:w="7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18" w:hRule="atLeast"/>
          <w:jc w:val="center"/>
        </w:trPr>
        <w:tc>
          <w:tcPr>
            <w:tcW w:w="10360" w:type="dxa"/>
            <w:gridSpan w:val="11"/>
            <w:noWrap w:val="0"/>
            <w:vAlign w:val="center"/>
          </w:tcPr>
          <w:p>
            <w:pPr>
              <w:pStyle w:val="10"/>
              <w:spacing w:line="240" w:lineRule="auto"/>
              <w:jc w:val="center"/>
              <w:rPr>
                <w:rFonts w:hint="eastAsia" w:eastAsia="宋体"/>
                <w:color w:val="000000"/>
                <w:sz w:val="24"/>
                <w:szCs w:val="24"/>
                <w:lang w:val="en-US" w:eastAsia="zh-CN"/>
              </w:rPr>
            </w:pPr>
            <w:bookmarkStart w:id="8" w:name="_Toc15979"/>
            <w:bookmarkStart w:id="9" w:name="_Toc6106"/>
            <w:bookmarkStart w:id="10" w:name="_三、公司简介："/>
            <w:r>
              <w:rPr>
                <w:rFonts w:hint="eastAsia"/>
                <w:b/>
                <w:bCs/>
                <w:color w:val="000000"/>
                <w:sz w:val="36"/>
                <w:szCs w:val="36"/>
                <w:lang w:val="en-US" w:eastAsia="zh-CN"/>
              </w:rPr>
              <w:t>燃油气蒸汽锅炉数据表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hint="eastAsia" w:ascii="Tahoma" w:hAnsi="Tahoma" w:eastAsia="Tahoma" w:cs="Tahoma"/>
                <w:color w:val="000000"/>
                <w:sz w:val="24"/>
                <w:szCs w:val="24"/>
              </w:rPr>
            </w:pPr>
            <w:r>
              <w:rPr>
                <w:rFonts w:hint="eastAsia" w:ascii="Tahoma" w:hAnsi="Tahoma" w:eastAsia="Tahoma" w:cs="Tahoma"/>
                <w:color w:val="000000"/>
                <w:sz w:val="24"/>
                <w:szCs w:val="24"/>
              </w:rPr>
              <w:t>型号</w:t>
            </w:r>
          </w:p>
        </w:tc>
        <w:tc>
          <w:tcPr>
            <w:tcW w:w="5146" w:type="dxa"/>
            <w:gridSpan w:val="6"/>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WNS10.0-1.25-YQ</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tcBorders>
              <w:bottom w:val="single" w:color="auto" w:sz="4" w:space="0"/>
            </w:tcBorders>
            <w:noWrap w:val="0"/>
            <w:vAlign w:val="center"/>
          </w:tcPr>
          <w:p>
            <w:pPr>
              <w:pStyle w:val="10"/>
              <w:spacing w:line="240" w:lineRule="auto"/>
              <w:jc w:val="center"/>
              <w:rPr>
                <w:rFonts w:hint="eastAsia" w:ascii="Tahoma" w:hAnsi="Tahoma" w:eastAsia="Tahoma" w:cs="Tahoma"/>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蒸发量</w:t>
            </w:r>
            <w:r>
              <w:rPr>
                <w:rFonts w:hint="eastAsia" w:ascii="Tahoma" w:hAnsi="Tahoma" w:cs="Tahoma"/>
                <w:color w:val="000000"/>
                <w:sz w:val="24"/>
                <w:szCs w:val="24"/>
                <w:lang w:val="en-US" w:eastAsia="zh-CN"/>
              </w:rPr>
              <w:t>T</w:t>
            </w:r>
            <w:r>
              <w:rPr>
                <w:rFonts w:ascii="Tahoma" w:hAnsi="Tahoma" w:eastAsia="Tahoma" w:cs="Tahoma"/>
                <w:color w:val="000000"/>
                <w:sz w:val="24"/>
                <w:szCs w:val="24"/>
              </w:rPr>
              <w:t>/h</w:t>
            </w:r>
          </w:p>
        </w:tc>
        <w:tc>
          <w:tcPr>
            <w:tcW w:w="5146" w:type="dxa"/>
            <w:gridSpan w:val="6"/>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5146" w:type="dxa"/>
            <w:gridSpan w:val="6"/>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146" w:type="dxa"/>
            <w:gridSpan w:val="6"/>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194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color w:val="000000"/>
                <w:sz w:val="24"/>
                <w:szCs w:val="24"/>
              </w:rPr>
            </w:pPr>
            <w:r>
              <w:rPr>
                <w:rFonts w:hint="eastAsia" w:ascii="Tahoma" w:hAnsi="Tahoma" w:cs="Tahoma"/>
                <w:color w:val="000000"/>
                <w:sz w:val="24"/>
                <w:szCs w:val="24"/>
                <w:lang w:eastAsia="zh-CN"/>
              </w:rPr>
              <w:t>给水</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146" w:type="dxa"/>
            <w:gridSpan w:val="6"/>
            <w:noWrap w:val="0"/>
            <w:vAlign w:val="center"/>
          </w:tcPr>
          <w:p>
            <w:pPr>
              <w:pStyle w:val="10"/>
              <w:spacing w:line="240" w:lineRule="auto"/>
              <w:jc w:val="center"/>
              <w:rPr>
                <w:rFonts w:hint="eastAsia" w:eastAsia="宋体"/>
                <w:color w:val="000000"/>
                <w:sz w:val="24"/>
                <w:szCs w:val="24"/>
                <w:lang w:eastAsia="zh-CN"/>
              </w:rPr>
            </w:pPr>
            <w:r>
              <w:rPr>
                <w:rFonts w:hint="eastAsia" w:ascii="Tahoma" w:hAnsi="Tahoma" w:cs="Tahoma"/>
                <w:color w:val="000000"/>
                <w:sz w:val="24"/>
                <w:szCs w:val="24"/>
                <w:lang w:val="en-US" w:eastAsia="zh-CN"/>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热效率≥</w:t>
            </w:r>
          </w:p>
        </w:tc>
        <w:tc>
          <w:tcPr>
            <w:tcW w:w="2576" w:type="dxa"/>
            <w:gridSpan w:val="2"/>
            <w:tcBorders>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92.43%(油)</w:t>
            </w:r>
          </w:p>
        </w:tc>
        <w:tc>
          <w:tcPr>
            <w:tcW w:w="2570" w:type="dxa"/>
            <w:gridSpan w:val="4"/>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92.16%(气)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hint="default" w:ascii="Tahoma" w:hAnsi="Tahoma" w:eastAsia="宋体" w:cs="Tahoma"/>
                <w:color w:val="000000"/>
                <w:sz w:val="24"/>
                <w:szCs w:val="24"/>
                <w:lang w:val="en-US" w:eastAsia="zh-CN"/>
              </w:rPr>
            </w:pPr>
            <w:r>
              <w:rPr>
                <w:rFonts w:hint="eastAsia" w:ascii="Tahoma" w:hAnsi="Tahoma" w:cs="Tahoma"/>
                <w:color w:val="000000"/>
                <w:sz w:val="24"/>
                <w:szCs w:val="24"/>
                <w:lang w:val="en-US" w:eastAsia="zh-CN"/>
              </w:rPr>
              <w:t>排烟温度/</w:t>
            </w:r>
            <w:r>
              <w:rPr>
                <w:rFonts w:ascii="Tahoma" w:hAnsi="Tahoma" w:eastAsia="Tahoma" w:cs="Tahoma"/>
                <w:color w:val="000000"/>
                <w:sz w:val="24"/>
                <w:szCs w:val="24"/>
              </w:rPr>
              <w:t>°C</w:t>
            </w:r>
          </w:p>
        </w:tc>
        <w:tc>
          <w:tcPr>
            <w:tcW w:w="2576"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137.04(油)</w:t>
            </w:r>
          </w:p>
        </w:tc>
        <w:tc>
          <w:tcPr>
            <w:tcW w:w="2570" w:type="dxa"/>
            <w:gridSpan w:val="4"/>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136.32(气)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3193" w:type="dxa"/>
            <w:gridSpan w:val="3"/>
            <w:vMerge w:val="restart"/>
            <w:noWrap w:val="0"/>
            <w:vAlign w:val="center"/>
          </w:tcPr>
          <w:p>
            <w:pPr>
              <w:pStyle w:val="10"/>
              <w:spacing w:line="240" w:lineRule="auto"/>
              <w:jc w:val="center"/>
              <w:rPr>
                <w:rFonts w:hint="eastAsia" w:ascii="Tahoma" w:hAnsi="Tahoma" w:eastAsia="Tahoma" w:cs="Tahoma"/>
                <w:color w:val="000000"/>
                <w:sz w:val="24"/>
                <w:szCs w:val="24"/>
                <w:lang w:eastAsia="zh-CN"/>
              </w:rPr>
            </w:pPr>
            <w:r>
              <w:rPr>
                <w:rFonts w:hint="eastAsia" w:ascii="Tahoma" w:hAnsi="Tahoma" w:eastAsia="Tahoma" w:cs="Tahoma"/>
                <w:color w:val="000000"/>
                <w:sz w:val="24"/>
                <w:szCs w:val="24"/>
                <w:lang w:eastAsia="zh-CN"/>
              </w:rPr>
              <w:t>设计燃料</w:t>
            </w:r>
          </w:p>
        </w:tc>
        <w:tc>
          <w:tcPr>
            <w:tcW w:w="2021" w:type="dxa"/>
            <w:gridSpan w:val="2"/>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天然气</w:t>
            </w:r>
          </w:p>
        </w:tc>
        <w:tc>
          <w:tcPr>
            <w:tcW w:w="5146" w:type="dxa"/>
            <w:gridSpan w:val="6"/>
            <w:tcBorders>
              <w:left w:val="single" w:color="auto" w:sz="4" w:space="0"/>
            </w:tcBorders>
            <w:noWrap w:val="0"/>
            <w:vAlign w:val="center"/>
          </w:tcPr>
          <w:p>
            <w:pPr>
              <w:pStyle w:val="10"/>
              <w:spacing w:line="240" w:lineRule="auto"/>
              <w:jc w:val="center"/>
              <w:rPr>
                <w:rFonts w:hint="default"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Qydw=8550kcal/kg=35.8MJ/kg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3193" w:type="dxa"/>
            <w:gridSpan w:val="3"/>
            <w:vMerge w:val="continue"/>
            <w:noWrap w:val="0"/>
            <w:vAlign w:val="center"/>
          </w:tcPr>
          <w:p>
            <w:pPr>
              <w:pStyle w:val="10"/>
              <w:spacing w:line="240" w:lineRule="auto"/>
              <w:jc w:val="center"/>
              <w:rPr>
                <w:rFonts w:hint="eastAsia" w:ascii="Tahoma" w:hAnsi="Tahoma" w:eastAsia="Tahoma" w:cs="Tahoma"/>
                <w:color w:val="000000"/>
                <w:sz w:val="24"/>
                <w:szCs w:val="24"/>
                <w:lang w:eastAsia="zh-CN"/>
              </w:rPr>
            </w:pPr>
          </w:p>
        </w:tc>
        <w:tc>
          <w:tcPr>
            <w:tcW w:w="2021" w:type="dxa"/>
            <w:gridSpan w:val="2"/>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轻油</w:t>
            </w:r>
          </w:p>
        </w:tc>
        <w:tc>
          <w:tcPr>
            <w:tcW w:w="5146" w:type="dxa"/>
            <w:gridSpan w:val="6"/>
            <w:tcBorders>
              <w:lef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Qydw=10200kcal/kg=42.7MJ/kg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3193" w:type="dxa"/>
            <w:gridSpan w:val="3"/>
            <w:vMerge w:val="restart"/>
            <w:noWrap w:val="0"/>
            <w:vAlign w:val="center"/>
          </w:tcPr>
          <w:p>
            <w:pPr>
              <w:pStyle w:val="10"/>
              <w:spacing w:line="240" w:lineRule="auto"/>
              <w:jc w:val="center"/>
              <w:rPr>
                <w:rFonts w:hint="default" w:eastAsia="宋体"/>
                <w:color w:val="000000"/>
                <w:sz w:val="24"/>
                <w:szCs w:val="24"/>
                <w:lang w:val="en-US" w:eastAsia="zh-CN"/>
              </w:rPr>
            </w:pPr>
            <w:r>
              <w:rPr>
                <w:rFonts w:hint="eastAsia"/>
                <w:color w:val="000000"/>
                <w:sz w:val="24"/>
                <w:szCs w:val="24"/>
                <w:lang w:val="en-US" w:eastAsia="zh-CN"/>
              </w:rPr>
              <w:t>燃料消耗量</w:t>
            </w:r>
          </w:p>
        </w:tc>
        <w:tc>
          <w:tcPr>
            <w:tcW w:w="2021" w:type="dxa"/>
            <w:gridSpan w:val="2"/>
            <w:tcBorders>
              <w:right w:val="single" w:color="auto" w:sz="4" w:space="0"/>
            </w:tcBorders>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天然气</w:t>
            </w:r>
          </w:p>
        </w:tc>
        <w:tc>
          <w:tcPr>
            <w:tcW w:w="5146" w:type="dxa"/>
            <w:gridSpan w:val="6"/>
            <w:tcBorders>
              <w:left w:val="single" w:color="auto" w:sz="4" w:space="0"/>
            </w:tcBorders>
            <w:noWrap w:val="0"/>
            <w:vAlign w:val="center"/>
          </w:tcPr>
          <w:p>
            <w:pPr>
              <w:pStyle w:val="10"/>
              <w:spacing w:line="240" w:lineRule="auto"/>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580-850</w:t>
            </w:r>
            <w:r>
              <w:rPr>
                <w:rFonts w:ascii="Tahoma" w:hAnsi="Tahoma" w:eastAsia="Tahoma" w:cs="Tahoma"/>
                <w:color w:val="000000"/>
                <w:sz w:val="24"/>
                <w:szCs w:val="24"/>
              </w:rPr>
              <w:t>Nm3/h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3193" w:type="dxa"/>
            <w:gridSpan w:val="3"/>
            <w:vMerge w:val="continue"/>
            <w:noWrap w:val="0"/>
            <w:vAlign w:val="center"/>
          </w:tcPr>
          <w:p>
            <w:pPr>
              <w:pStyle w:val="10"/>
              <w:spacing w:line="240" w:lineRule="auto"/>
              <w:jc w:val="center"/>
              <w:rPr>
                <w:rFonts w:ascii="Tahoma" w:hAnsi="Tahoma" w:eastAsia="Tahoma" w:cs="Tahoma"/>
                <w:color w:val="000000"/>
                <w:sz w:val="24"/>
                <w:szCs w:val="24"/>
              </w:rPr>
            </w:pPr>
          </w:p>
        </w:tc>
        <w:tc>
          <w:tcPr>
            <w:tcW w:w="2021"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eastAsia="zh-CN"/>
              </w:rPr>
              <w:t>轻油</w:t>
            </w:r>
          </w:p>
        </w:tc>
        <w:tc>
          <w:tcPr>
            <w:tcW w:w="5146" w:type="dxa"/>
            <w:gridSpan w:val="6"/>
            <w:tcBorders>
              <w:lef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335-700kg</w:t>
            </w:r>
            <w:r>
              <w:rPr>
                <w:rFonts w:ascii="Tahoma" w:hAnsi="Tahoma" w:eastAsia="Tahoma" w:cs="Tahoma"/>
                <w:color w:val="000000"/>
                <w:sz w:val="24"/>
                <w:szCs w:val="24"/>
              </w:rPr>
              <w:t>/h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蒸汽</w:t>
            </w:r>
            <w:r>
              <w:rPr>
                <w:rFonts w:ascii="Tahoma" w:hAnsi="Tahoma" w:eastAsia="Tahoma" w:cs="Tahoma"/>
                <w:color w:val="000000"/>
                <w:sz w:val="24"/>
                <w:szCs w:val="24"/>
              </w:rPr>
              <w:t>接口</w:t>
            </w:r>
            <w:r>
              <w:rPr>
                <w:rFonts w:hint="eastAsia" w:ascii="Tahoma" w:hAnsi="Tahoma" w:cs="Tahoma"/>
                <w:color w:val="000000"/>
                <w:sz w:val="24"/>
                <w:szCs w:val="24"/>
                <w:lang w:val="en-US" w:eastAsia="zh-CN"/>
              </w:rPr>
              <w:t>DN</w:t>
            </w:r>
          </w:p>
        </w:tc>
        <w:tc>
          <w:tcPr>
            <w:tcW w:w="5146" w:type="dxa"/>
            <w:gridSpan w:val="6"/>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给水</w:t>
            </w:r>
            <w:r>
              <w:rPr>
                <w:rFonts w:ascii="Tahoma" w:hAnsi="Tahoma" w:eastAsia="Tahoma" w:cs="Tahoma"/>
                <w:color w:val="000000"/>
                <w:sz w:val="24"/>
                <w:szCs w:val="24"/>
              </w:rPr>
              <w:t>接口DN</w:t>
            </w:r>
          </w:p>
        </w:tc>
        <w:tc>
          <w:tcPr>
            <w:tcW w:w="5146" w:type="dxa"/>
            <w:gridSpan w:val="6"/>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安全阀口径</w:t>
            </w:r>
            <w:r>
              <w:rPr>
                <w:rFonts w:ascii="Tahoma" w:hAnsi="Tahoma" w:eastAsia="Tahoma" w:cs="Tahoma"/>
                <w:color w:val="000000"/>
                <w:sz w:val="24"/>
                <w:szCs w:val="24"/>
              </w:rPr>
              <w:t>DN</w:t>
            </w:r>
          </w:p>
        </w:tc>
        <w:tc>
          <w:tcPr>
            <w:tcW w:w="5146" w:type="dxa"/>
            <w:gridSpan w:val="6"/>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ascii="Tahoma" w:hAnsi="Tahoma" w:eastAsia="Tahoma" w:cs="Tahoma"/>
                <w:color w:val="000000"/>
                <w:kern w:val="0"/>
                <w:sz w:val="24"/>
                <w:szCs w:val="24"/>
                <w:lang w:val="en-US" w:eastAsia="zh-CN" w:bidi="ar-SA"/>
              </w:rPr>
            </w:pPr>
            <w:r>
              <w:rPr>
                <w:rFonts w:ascii="Tahoma" w:hAnsi="Tahoma" w:eastAsia="Tahoma" w:cs="Tahoma"/>
                <w:color w:val="000000"/>
                <w:sz w:val="24"/>
                <w:szCs w:val="24"/>
              </w:rPr>
              <w:t>排污口DN</w:t>
            </w:r>
          </w:p>
        </w:tc>
        <w:tc>
          <w:tcPr>
            <w:tcW w:w="5146" w:type="dxa"/>
            <w:gridSpan w:val="6"/>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ascii="Tahoma" w:hAnsi="Tahoma" w:eastAsia="Tahoma" w:cs="Tahoma"/>
                <w:color w:val="000000"/>
                <w:sz w:val="24"/>
                <w:szCs w:val="24"/>
              </w:rPr>
              <w:t>烟囱口径内径mm</w:t>
            </w:r>
          </w:p>
        </w:tc>
        <w:tc>
          <w:tcPr>
            <w:tcW w:w="5146" w:type="dxa"/>
            <w:gridSpan w:val="6"/>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hint="default" w:ascii="宋体" w:hAnsi="宋体" w:eastAsia="宋体" w:cs="宋体"/>
                <w:color w:val="000000"/>
                <w:kern w:val="0"/>
                <w:sz w:val="24"/>
                <w:szCs w:val="24"/>
                <w:vertAlign w:val="superscript"/>
                <w:lang w:val="en-US" w:eastAsia="zh-CN" w:bidi="ar-SA"/>
              </w:rPr>
            </w:pPr>
            <w:r>
              <w:rPr>
                <w:rFonts w:ascii="Tahoma" w:hAnsi="Tahoma" w:eastAsia="Tahoma" w:cs="Tahoma"/>
                <w:color w:val="000000"/>
                <w:sz w:val="24"/>
                <w:szCs w:val="24"/>
              </w:rPr>
              <w:t>水容量</w:t>
            </w:r>
            <w:r>
              <w:rPr>
                <w:rFonts w:hint="eastAsia" w:ascii="Tahoma" w:hAnsi="Tahoma" w:cs="Tahoma"/>
                <w:color w:val="000000"/>
                <w:sz w:val="24"/>
                <w:szCs w:val="24"/>
                <w:lang w:val="en-US" w:eastAsia="zh-CN"/>
              </w:rPr>
              <w:t>/m</w:t>
            </w:r>
            <w:r>
              <w:rPr>
                <w:rFonts w:hint="eastAsia" w:ascii="Tahoma" w:hAnsi="Tahoma" w:cs="Tahoma"/>
                <w:color w:val="000000"/>
                <w:sz w:val="24"/>
                <w:szCs w:val="24"/>
                <w:vertAlign w:val="superscript"/>
                <w:lang w:val="en-US" w:eastAsia="zh-CN"/>
              </w:rPr>
              <w:t>3</w:t>
            </w:r>
          </w:p>
        </w:tc>
        <w:tc>
          <w:tcPr>
            <w:tcW w:w="5146" w:type="dxa"/>
            <w:gridSpan w:val="6"/>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kern w:val="0"/>
                <w:sz w:val="24"/>
                <w:szCs w:val="24"/>
                <w:lang w:val="en-US" w:eastAsia="zh-CN" w:bidi="ar-SA"/>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ascii="Tahoma" w:hAnsi="Tahoma" w:eastAsia="Tahoma" w:cs="Tahoma"/>
                <w:color w:val="000000"/>
                <w:sz w:val="24"/>
                <w:szCs w:val="24"/>
              </w:rPr>
            </w:pPr>
            <w:r>
              <w:rPr>
                <w:rFonts w:hint="eastAsia" w:ascii="Tahoma" w:hAnsi="Tahoma" w:cs="Tahoma"/>
                <w:color w:val="000000"/>
                <w:sz w:val="24"/>
                <w:szCs w:val="24"/>
                <w:lang w:eastAsia="zh-CN"/>
              </w:rPr>
              <w:t>大件</w:t>
            </w:r>
            <w:r>
              <w:rPr>
                <w:rFonts w:ascii="Tahoma" w:hAnsi="Tahoma" w:eastAsia="Tahoma" w:cs="Tahoma"/>
                <w:color w:val="000000"/>
                <w:sz w:val="24"/>
                <w:szCs w:val="24"/>
              </w:rPr>
              <w:t>运输尺寸（长X宽x高）mm</w:t>
            </w:r>
          </w:p>
        </w:tc>
        <w:tc>
          <w:tcPr>
            <w:tcW w:w="5146" w:type="dxa"/>
            <w:gridSpan w:val="6"/>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7254x2860x3316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5214" w:type="dxa"/>
            <w:gridSpan w:val="5"/>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大件运输重量</w:t>
            </w:r>
            <w:r>
              <w:rPr>
                <w:rFonts w:hint="eastAsia" w:ascii="Tahoma" w:hAnsi="Tahoma" w:cs="Tahoma"/>
                <w:color w:val="000000"/>
                <w:sz w:val="24"/>
                <w:szCs w:val="24"/>
                <w:lang w:val="en-US" w:eastAsia="zh-CN"/>
              </w:rPr>
              <w:t>/</w:t>
            </w:r>
            <w:r>
              <w:rPr>
                <w:rFonts w:ascii="Tahoma" w:hAnsi="Tahoma" w:eastAsia="Tahoma" w:cs="Tahoma"/>
                <w:color w:val="000000"/>
                <w:sz w:val="24"/>
                <w:szCs w:val="24"/>
              </w:rPr>
              <w:t>T</w:t>
            </w:r>
          </w:p>
        </w:tc>
        <w:tc>
          <w:tcPr>
            <w:tcW w:w="5146" w:type="dxa"/>
            <w:gridSpan w:val="6"/>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24.55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10360" w:type="dxa"/>
            <w:gridSpan w:val="11"/>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b/>
                <w:bCs/>
                <w:color w:val="000000"/>
                <w:sz w:val="22"/>
                <w:szCs w:val="22"/>
                <w:lang w:val="en-US" w:eastAsia="zh-CN"/>
              </w:rPr>
              <w:t>燃烧器适配规范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名称</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型号</w:t>
            </w:r>
          </w:p>
        </w:tc>
        <w:tc>
          <w:tcPr>
            <w:tcW w:w="2794" w:type="dxa"/>
            <w:gridSpan w:val="3"/>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名称</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型号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输出功率</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val="en-US" w:eastAsia="zh-CN"/>
              </w:rPr>
              <w:t>1000-11000KW/</w:t>
            </w:r>
            <w:r>
              <w:rPr>
                <w:rFonts w:ascii="Tahoma" w:hAnsi="Tahoma" w:eastAsia="Tahoma" w:cs="Tahoma"/>
                <w:color w:val="000000"/>
                <w:sz w:val="22"/>
                <w:szCs w:val="22"/>
              </w:rPr>
              <w:t>h</w:t>
            </w:r>
          </w:p>
        </w:tc>
        <w:tc>
          <w:tcPr>
            <w:tcW w:w="2794" w:type="dxa"/>
            <w:gridSpan w:val="3"/>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输出功率</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2500-10500KW/</w:t>
            </w:r>
            <w:r>
              <w:rPr>
                <w:rFonts w:ascii="Tahoma" w:hAnsi="Tahoma" w:eastAsia="Tahoma" w:cs="Tahoma"/>
                <w:color w:val="000000"/>
                <w:sz w:val="22"/>
                <w:szCs w:val="22"/>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天然气流量</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100-1100m</w:t>
            </w:r>
            <w:r>
              <w:rPr>
                <w:rFonts w:hint="eastAsia" w:ascii="Tahoma" w:hAnsi="Tahoma" w:cs="Tahoma"/>
                <w:color w:val="000000"/>
                <w:sz w:val="22"/>
                <w:szCs w:val="22"/>
                <w:vertAlign w:val="superscript"/>
                <w:lang w:val="en-US" w:eastAsia="zh-CN"/>
              </w:rPr>
              <w:t>3</w:t>
            </w:r>
            <w:r>
              <w:rPr>
                <w:rFonts w:hint="eastAsia" w:ascii="Tahoma" w:hAnsi="Tahoma" w:cs="Tahoma"/>
                <w:color w:val="000000"/>
                <w:sz w:val="22"/>
                <w:szCs w:val="22"/>
                <w:lang w:val="en-US" w:eastAsia="zh-CN"/>
              </w:rPr>
              <w:t>/h</w:t>
            </w:r>
          </w:p>
        </w:tc>
        <w:tc>
          <w:tcPr>
            <w:tcW w:w="2794" w:type="dxa"/>
            <w:gridSpan w:val="3"/>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轻油流量</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212-890kg/h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天然气压力</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10-25Kpa</w:t>
            </w:r>
          </w:p>
        </w:tc>
        <w:tc>
          <w:tcPr>
            <w:tcW w:w="2794" w:type="dxa"/>
            <w:gridSpan w:val="3"/>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建议燃油日储备</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20—530T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eastAsia" w:ascii="Tahoma" w:hAnsi="Tahoma" w:eastAsia="Tahoma" w:cs="Tahoma"/>
                <w:color w:val="000000"/>
                <w:kern w:val="0"/>
                <w:sz w:val="22"/>
                <w:szCs w:val="22"/>
                <w:lang w:val="en-US" w:eastAsia="zh-CN" w:bidi="ar-SA"/>
              </w:rPr>
            </w:pPr>
            <w:r>
              <w:rPr>
                <w:rFonts w:hint="eastAsia" w:ascii="Tahoma" w:hAnsi="Tahoma" w:cs="Tahoma"/>
                <w:color w:val="000000"/>
                <w:sz w:val="22"/>
                <w:szCs w:val="22"/>
                <w:lang w:val="en-US" w:eastAsia="zh-CN"/>
              </w:rPr>
              <w:t>天然气供气主管径</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val="en-US" w:eastAsia="zh-CN"/>
              </w:rPr>
              <w:t>DN100-200</w:t>
            </w:r>
          </w:p>
        </w:tc>
        <w:tc>
          <w:tcPr>
            <w:tcW w:w="2794" w:type="dxa"/>
            <w:gridSpan w:val="3"/>
            <w:tcBorders>
              <w:right w:val="single" w:color="auto" w:sz="4" w:space="0"/>
            </w:tcBorders>
            <w:noWrap w:val="0"/>
            <w:vAlign w:val="center"/>
          </w:tcPr>
          <w:p>
            <w:pPr>
              <w:pStyle w:val="10"/>
              <w:spacing w:line="240" w:lineRule="auto"/>
              <w:jc w:val="center"/>
              <w:rPr>
                <w:rFonts w:hint="default" w:ascii="Tahoma" w:hAnsi="Tahoma" w:eastAsia="Tahoma" w:cs="Tahoma"/>
                <w:color w:val="000000"/>
                <w:kern w:val="0"/>
                <w:sz w:val="22"/>
                <w:szCs w:val="22"/>
                <w:lang w:val="en-US" w:eastAsia="zh-CN" w:bidi="ar-SA"/>
              </w:rPr>
            </w:pPr>
            <w:r>
              <w:rPr>
                <w:rFonts w:hint="eastAsia" w:ascii="Tahoma" w:hAnsi="Tahoma" w:cs="Tahoma"/>
                <w:color w:val="000000"/>
                <w:sz w:val="22"/>
                <w:szCs w:val="22"/>
                <w:lang w:val="en-US" w:eastAsia="zh-CN"/>
              </w:rPr>
              <w:t>主供油管路</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DN100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eastAsia" w:ascii="Tahoma" w:hAnsi="Tahoma" w:eastAsia="Tahoma" w:cs="Tahoma"/>
                <w:color w:val="000000"/>
                <w:kern w:val="0"/>
                <w:sz w:val="22"/>
                <w:szCs w:val="22"/>
                <w:lang w:val="en-US" w:eastAsia="zh-CN" w:bidi="ar-SA"/>
              </w:rPr>
            </w:pPr>
            <w:r>
              <w:rPr>
                <w:rFonts w:hint="eastAsia" w:ascii="Tahoma" w:hAnsi="Tahoma" w:cs="Tahoma"/>
                <w:color w:val="000000"/>
                <w:sz w:val="22"/>
                <w:szCs w:val="22"/>
                <w:lang w:eastAsia="zh-CN"/>
              </w:rPr>
              <w:t>燃烧机阀组口径</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DN100</w:t>
            </w:r>
          </w:p>
        </w:tc>
        <w:tc>
          <w:tcPr>
            <w:tcW w:w="2794" w:type="dxa"/>
            <w:gridSpan w:val="3"/>
            <w:tcBorders>
              <w:right w:val="single" w:color="auto" w:sz="4" w:space="0"/>
            </w:tcBorders>
            <w:noWrap w:val="0"/>
            <w:vAlign w:val="center"/>
          </w:tcPr>
          <w:p>
            <w:pPr>
              <w:pStyle w:val="10"/>
              <w:spacing w:line="240" w:lineRule="auto"/>
              <w:jc w:val="center"/>
              <w:rPr>
                <w:rFonts w:hint="eastAsia" w:ascii="Tahoma" w:hAnsi="Tahoma" w:eastAsia="Tahoma" w:cs="Tahoma"/>
                <w:color w:val="000000"/>
                <w:kern w:val="0"/>
                <w:sz w:val="22"/>
                <w:szCs w:val="22"/>
                <w:lang w:val="en-US" w:eastAsia="zh-CN" w:bidi="ar-SA"/>
              </w:rPr>
            </w:pPr>
            <w:r>
              <w:rPr>
                <w:rFonts w:hint="eastAsia" w:ascii="Tahoma" w:hAnsi="Tahoma" w:cs="Tahoma"/>
                <w:color w:val="000000"/>
                <w:sz w:val="22"/>
                <w:szCs w:val="22"/>
                <w:lang w:val="en-US" w:eastAsia="zh-CN"/>
              </w:rPr>
              <w:t>燃烧机油泵接进口径</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DN80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val="en-US" w:eastAsia="zh-CN"/>
              </w:rPr>
              <w:t>电机功率</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val="en-US" w:eastAsia="zh-CN"/>
              </w:rPr>
              <w:t>22KW</w:t>
            </w:r>
          </w:p>
        </w:tc>
        <w:tc>
          <w:tcPr>
            <w:tcW w:w="2794" w:type="dxa"/>
            <w:gridSpan w:val="3"/>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电机功率</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22+4KW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2690"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燃烧机电源</w:t>
            </w:r>
          </w:p>
        </w:tc>
        <w:tc>
          <w:tcPr>
            <w:tcW w:w="2524"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val="en-US" w:eastAsia="zh-CN"/>
              </w:rPr>
              <w:t>3N AC 50Hz 400V</w:t>
            </w:r>
          </w:p>
        </w:tc>
        <w:tc>
          <w:tcPr>
            <w:tcW w:w="2794" w:type="dxa"/>
            <w:gridSpan w:val="3"/>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eastAsia="zh-CN"/>
              </w:rPr>
              <w:t>燃烧机电源</w:t>
            </w:r>
          </w:p>
        </w:tc>
        <w:tc>
          <w:tcPr>
            <w:tcW w:w="2352"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3N AC 50Hz 400V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3193" w:type="dxa"/>
            <w:gridSpan w:val="3"/>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配套给水泵规范</w:t>
            </w:r>
          </w:p>
        </w:tc>
        <w:tc>
          <w:tcPr>
            <w:tcW w:w="3537" w:type="dxa"/>
            <w:gridSpan w:val="3"/>
            <w:tcBorders>
              <w:right w:val="single" w:color="auto" w:sz="4" w:space="0"/>
            </w:tcBorders>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配套电控规范</w:t>
            </w:r>
          </w:p>
        </w:tc>
        <w:tc>
          <w:tcPr>
            <w:tcW w:w="3630" w:type="dxa"/>
            <w:gridSpan w:val="5"/>
            <w:tcBorders>
              <w:left w:val="single" w:color="auto" w:sz="4" w:space="0"/>
            </w:tcBorders>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配套分气缸规范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1165"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型号</w:t>
            </w:r>
          </w:p>
        </w:tc>
        <w:tc>
          <w:tcPr>
            <w:tcW w:w="2028"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CDL12-14</w:t>
            </w:r>
          </w:p>
        </w:tc>
        <w:tc>
          <w:tcPr>
            <w:tcW w:w="1818"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1719"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HXDK-10</w:t>
            </w:r>
          </w:p>
        </w:tc>
        <w:tc>
          <w:tcPr>
            <w:tcW w:w="2089" w:type="dxa"/>
            <w:gridSpan w:val="3"/>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1541"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HXF500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1165"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流量</w:t>
            </w:r>
          </w:p>
        </w:tc>
        <w:tc>
          <w:tcPr>
            <w:tcW w:w="2028"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12m</w:t>
            </w:r>
            <w:r>
              <w:rPr>
                <w:rFonts w:hint="eastAsia" w:ascii="Tahoma" w:hAnsi="Tahoma" w:cs="Tahoma"/>
                <w:color w:val="000000"/>
                <w:sz w:val="22"/>
                <w:szCs w:val="22"/>
                <w:vertAlign w:val="superscript"/>
                <w:lang w:val="en-US" w:eastAsia="zh-CN"/>
              </w:rPr>
              <w:t>3</w:t>
            </w:r>
            <w:r>
              <w:rPr>
                <w:rFonts w:hint="eastAsia" w:ascii="Tahoma" w:hAnsi="Tahoma" w:cs="Tahoma"/>
                <w:color w:val="000000"/>
                <w:sz w:val="22"/>
                <w:szCs w:val="22"/>
                <w:lang w:val="en-US" w:eastAsia="zh-CN"/>
              </w:rPr>
              <w:t>/h</w:t>
            </w:r>
          </w:p>
        </w:tc>
        <w:tc>
          <w:tcPr>
            <w:tcW w:w="1818" w:type="dxa"/>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控制范围</w:t>
            </w:r>
          </w:p>
        </w:tc>
        <w:tc>
          <w:tcPr>
            <w:tcW w:w="1719"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0-1.25Mpa</w:t>
            </w:r>
          </w:p>
        </w:tc>
        <w:tc>
          <w:tcPr>
            <w:tcW w:w="1060"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规格</w:t>
            </w:r>
          </w:p>
        </w:tc>
        <w:tc>
          <w:tcPr>
            <w:tcW w:w="1029"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Φ500</w:t>
            </w:r>
          </w:p>
        </w:tc>
        <w:tc>
          <w:tcPr>
            <w:tcW w:w="786" w:type="dxa"/>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容积</w:t>
            </w:r>
          </w:p>
        </w:tc>
        <w:tc>
          <w:tcPr>
            <w:tcW w:w="755" w:type="dxa"/>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0.09m</w:t>
            </w:r>
            <w:r>
              <w:rPr>
                <w:rFonts w:hint="eastAsia" w:ascii="Tahoma" w:hAnsi="Tahoma" w:cs="Tahoma"/>
                <w:color w:val="000000"/>
                <w:sz w:val="22"/>
                <w:szCs w:val="22"/>
                <w:vertAlign w:val="superscript"/>
                <w:lang w:val="en-US" w:eastAsia="zh-CN"/>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7" w:hRule="atLeast"/>
          <w:jc w:val="center"/>
        </w:trPr>
        <w:tc>
          <w:tcPr>
            <w:tcW w:w="1165"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扬程</w:t>
            </w:r>
          </w:p>
        </w:tc>
        <w:tc>
          <w:tcPr>
            <w:tcW w:w="2028"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141m</w:t>
            </w:r>
          </w:p>
        </w:tc>
        <w:tc>
          <w:tcPr>
            <w:tcW w:w="1818"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本体结构</w:t>
            </w:r>
          </w:p>
        </w:tc>
        <w:tc>
          <w:tcPr>
            <w:tcW w:w="1719" w:type="dxa"/>
            <w:gridSpan w:val="2"/>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箱式</w:t>
            </w:r>
          </w:p>
        </w:tc>
        <w:tc>
          <w:tcPr>
            <w:tcW w:w="2089" w:type="dxa"/>
            <w:gridSpan w:val="3"/>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额定工作压力</w:t>
            </w:r>
          </w:p>
        </w:tc>
        <w:tc>
          <w:tcPr>
            <w:tcW w:w="1541"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1.25Mpa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4" w:hRule="atLeast"/>
          <w:jc w:val="center"/>
        </w:trPr>
        <w:tc>
          <w:tcPr>
            <w:tcW w:w="1165"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电机功率</w:t>
            </w:r>
          </w:p>
        </w:tc>
        <w:tc>
          <w:tcPr>
            <w:tcW w:w="2028"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11KW</w:t>
            </w:r>
          </w:p>
        </w:tc>
        <w:tc>
          <w:tcPr>
            <w:tcW w:w="1818"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固定方式</w:t>
            </w:r>
          </w:p>
        </w:tc>
        <w:tc>
          <w:tcPr>
            <w:tcW w:w="1719" w:type="dxa"/>
            <w:gridSpan w:val="2"/>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立式</w:t>
            </w:r>
          </w:p>
        </w:tc>
        <w:tc>
          <w:tcPr>
            <w:tcW w:w="2089" w:type="dxa"/>
            <w:gridSpan w:val="3"/>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额定工作温度</w:t>
            </w:r>
          </w:p>
        </w:tc>
        <w:tc>
          <w:tcPr>
            <w:tcW w:w="1541"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194</w:t>
            </w:r>
            <w:r>
              <w:rPr>
                <w:rFonts w:hint="eastAsia" w:ascii="Tahoma" w:hAnsi="Tahoma" w:cs="Tahoma"/>
                <w:b/>
                <w:bCs/>
                <w:color w:val="000000"/>
                <w:sz w:val="22"/>
                <w:szCs w:val="22"/>
                <w:lang w:val="en-US" w:eastAsia="zh-CN"/>
              </w:rPr>
              <w:t>℃</w:t>
            </w: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ascii="黑体" w:hAnsi="黑体" w:eastAsia="黑体" w:cs="黑体"/>
          <w:lang w:val="en-US" w:eastAsia="zh-CN"/>
        </w:rPr>
        <w:t>三、公司简介：</w:t>
      </w:r>
      <w:bookmarkEnd w:id="8"/>
      <w:bookmarkEnd w:id="9"/>
    </w:p>
    <w:bookmarkEnd w:id="10"/>
    <w:p>
      <w:pPr>
        <w:pStyle w:val="15"/>
        <w:ind w:firstLine="42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燃油气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11" w:name="_Toc25758"/>
      <w:bookmarkStart w:id="12" w:name="_Toc9567"/>
      <w:bookmarkStart w:id="13" w:name="_四、公司资质与产品展示"/>
      <w:r>
        <w:rPr>
          <w:rFonts w:hint="eastAsia" w:ascii="黑体" w:hAnsi="黑体" w:eastAsia="黑体" w:cs="黑体"/>
          <w:lang w:val="en-US" w:eastAsia="zh-CN"/>
        </w:rPr>
        <w:t>四、</w:t>
      </w:r>
      <w:bookmarkEnd w:id="11"/>
      <w:bookmarkEnd w:id="12"/>
      <w:bookmarkEnd w:id="13"/>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92032" behindDoc="0" locked="0" layoutInCell="1" allowOverlap="1">
            <wp:simplePos x="0" y="0"/>
            <wp:positionH relativeFrom="column">
              <wp:posOffset>1688465</wp:posOffset>
            </wp:positionH>
            <wp:positionV relativeFrom="paragraph">
              <wp:posOffset>12065</wp:posOffset>
            </wp:positionV>
            <wp:extent cx="2985770" cy="4262120"/>
            <wp:effectExtent l="0" t="0" r="5080" b="5080"/>
            <wp:wrapNone/>
            <wp:docPr id="1" name="图片 1"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9984" behindDoc="0" locked="0" layoutInCell="1" allowOverlap="1">
            <wp:simplePos x="0" y="0"/>
            <wp:positionH relativeFrom="column">
              <wp:posOffset>2992120</wp:posOffset>
            </wp:positionH>
            <wp:positionV relativeFrom="paragraph">
              <wp:posOffset>255905</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6"/>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91008" behindDoc="0" locked="0" layoutInCell="1" allowOverlap="1">
            <wp:simplePos x="0" y="0"/>
            <wp:positionH relativeFrom="column">
              <wp:posOffset>-276225</wp:posOffset>
            </wp:positionH>
            <wp:positionV relativeFrom="paragraph">
              <wp:posOffset>209550</wp:posOffset>
            </wp:positionV>
            <wp:extent cx="3150235" cy="4495165"/>
            <wp:effectExtent l="0" t="0" r="12065" b="635"/>
            <wp:wrapNone/>
            <wp:docPr id="2" name="图片 2"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新职业健康安全管理体系认证"/>
                    <pic:cNvPicPr>
                      <a:picLocks noChangeAspect="1"/>
                    </pic:cNvPicPr>
                  </pic:nvPicPr>
                  <pic:blipFill>
                    <a:blip r:embed="rId17"/>
                    <a:stretch>
                      <a:fillRect/>
                    </a:stretch>
                  </pic:blipFill>
                  <pic:spPr>
                    <a:xfrm>
                      <a:off x="0" y="0"/>
                      <a:ext cx="3150235" cy="449516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bookmarkStart w:id="79" w:name="_GoBack"/>
      <w:bookmarkEnd w:id="79"/>
      <w:r>
        <w:rPr>
          <w:rFonts w:hint="eastAsia" w:eastAsia="黑体"/>
          <w:lang w:eastAsia="zh-CN"/>
        </w:rPr>
        <w:drawing>
          <wp:anchor distT="0" distB="0" distL="114300" distR="114300" simplePos="0" relativeHeight="251682816" behindDoc="0" locked="0" layoutInCell="1" allowOverlap="1">
            <wp:simplePos x="0" y="0"/>
            <wp:positionH relativeFrom="column">
              <wp:posOffset>90805</wp:posOffset>
            </wp:positionH>
            <wp:positionV relativeFrom="paragraph">
              <wp:posOffset>79375</wp:posOffset>
            </wp:positionV>
            <wp:extent cx="6000750" cy="4500245"/>
            <wp:effectExtent l="0" t="0" r="0" b="14605"/>
            <wp:wrapTopAndBottom/>
            <wp:docPr id="6" name="图片 6" descr="C:/Users/86156/AppData/Local/Temp/picturecompress_202201200916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6/AppData/Local/Temp/picturecompress_20220120091621/output_1.jpgoutput_1"/>
                    <pic:cNvPicPr>
                      <a:picLocks noChangeAspect="1"/>
                    </pic:cNvPicPr>
                  </pic:nvPicPr>
                  <pic:blipFill>
                    <a:blip r:embed="rId18"/>
                    <a:stretch>
                      <a:fillRect/>
                    </a:stretch>
                  </pic:blipFill>
                  <pic:spPr>
                    <a:xfrm>
                      <a:off x="0" y="0"/>
                      <a:ext cx="6000750" cy="450024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inline distT="0" distB="0" distL="114300" distR="114300">
            <wp:extent cx="6000750" cy="4500245"/>
            <wp:effectExtent l="0" t="0" r="0" b="14605"/>
            <wp:docPr id="3" name="图片 3" descr="C:/Users/86156/AppData/Local/Temp/picturecompress_202201200913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6/AppData/Local/Temp/picturecompress_20220120091336/output_1.jpgoutput_1"/>
                    <pic:cNvPicPr>
                      <a:picLocks noChangeAspect="1"/>
                    </pic:cNvPicPr>
                  </pic:nvPicPr>
                  <pic:blipFill>
                    <a:blip r:embed="rId19"/>
                    <a:stretch>
                      <a:fillRect/>
                    </a:stretch>
                  </pic:blipFill>
                  <pic:spPr>
                    <a:xfrm>
                      <a:off x="0" y="0"/>
                      <a:ext cx="6000750" cy="4500245"/>
                    </a:xfrm>
                    <a:prstGeom prst="rect">
                      <a:avLst/>
                    </a:prstGeom>
                  </pic:spPr>
                </pic:pic>
              </a:graphicData>
            </a:graphic>
          </wp:inline>
        </w:drawing>
      </w:r>
    </w:p>
    <w:p>
      <w:pPr>
        <w:rPr>
          <w:rFonts w:hint="eastAsia"/>
          <w:lang w:eastAsia="zh-CN"/>
        </w:rPr>
      </w:pPr>
      <w:r>
        <w:rPr>
          <w:rFonts w:hint="eastAsia"/>
          <w:lang w:eastAsia="zh-CN"/>
        </w:rPr>
        <w:drawing>
          <wp:anchor distT="0" distB="0" distL="114300" distR="114300" simplePos="0" relativeHeight="251683840" behindDoc="0" locked="0" layoutInCell="1" allowOverlap="1">
            <wp:simplePos x="0" y="0"/>
            <wp:positionH relativeFrom="column">
              <wp:posOffset>76200</wp:posOffset>
            </wp:positionH>
            <wp:positionV relativeFrom="paragraph">
              <wp:posOffset>94615</wp:posOffset>
            </wp:positionV>
            <wp:extent cx="6000750" cy="4500245"/>
            <wp:effectExtent l="0" t="0" r="0" b="14605"/>
            <wp:wrapTopAndBottom/>
            <wp:docPr id="9" name="图片 9" descr="C:/Users/86156/AppData/Local/Temp/picturecompress_202201200920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6/AppData/Local/Temp/picturecompress_20220120092051/output_1.jpgoutput_1"/>
                    <pic:cNvPicPr>
                      <a:picLocks noChangeAspect="1"/>
                    </pic:cNvPicPr>
                  </pic:nvPicPr>
                  <pic:blipFill>
                    <a:blip r:embed="rId20"/>
                    <a:stretch>
                      <a:fillRect/>
                    </a:stretch>
                  </pic:blipFill>
                  <pic:spPr>
                    <a:xfrm>
                      <a:off x="0" y="0"/>
                      <a:ext cx="6000750" cy="4500245"/>
                    </a:xfrm>
                    <a:prstGeom prst="rect">
                      <a:avLst/>
                    </a:prstGeom>
                  </pic:spPr>
                </pic:pic>
              </a:graphicData>
            </a:graphic>
          </wp:anchor>
        </w:drawing>
      </w:r>
      <w:r>
        <w:rPr>
          <w:rFonts w:hint="eastAsia"/>
          <w:lang w:eastAsia="zh-CN"/>
        </w:rPr>
        <w:drawing>
          <wp:anchor distT="0" distB="0" distL="114300" distR="114300" simplePos="0" relativeHeight="251684864" behindDoc="0" locked="0" layoutInCell="1" allowOverlap="1">
            <wp:simplePos x="0" y="0"/>
            <wp:positionH relativeFrom="column">
              <wp:posOffset>90805</wp:posOffset>
            </wp:positionH>
            <wp:positionV relativeFrom="paragraph">
              <wp:posOffset>4597400</wp:posOffset>
            </wp:positionV>
            <wp:extent cx="6000750" cy="4500245"/>
            <wp:effectExtent l="0" t="0" r="0" b="14605"/>
            <wp:wrapTopAndBottom/>
            <wp:docPr id="10" name="图片 10" descr="C:/Users/86156/AppData/Local/Temp/picturecompress_202201200921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6/AppData/Local/Temp/picturecompress_20220120092106/output_1.jpgoutput_1"/>
                    <pic:cNvPicPr>
                      <a:picLocks noChangeAspect="1"/>
                    </pic:cNvPicPr>
                  </pic:nvPicPr>
                  <pic:blipFill>
                    <a:blip r:embed="rId21"/>
                    <a:stretch>
                      <a:fillRect/>
                    </a:stretch>
                  </pic:blipFill>
                  <pic:spPr>
                    <a:xfrm>
                      <a:off x="0" y="0"/>
                      <a:ext cx="6000750" cy="4500245"/>
                    </a:xfrm>
                    <a:prstGeom prst="rect">
                      <a:avLst/>
                    </a:prstGeom>
                  </pic:spPr>
                </pic:pic>
              </a:graphicData>
            </a:graphic>
          </wp:anchor>
        </w:drawing>
      </w:r>
    </w:p>
    <w:p>
      <w:pPr>
        <w:pStyle w:val="4"/>
        <w:bidi w:val="0"/>
        <w:rPr>
          <w:rFonts w:hint="eastAsia" w:ascii="黑体" w:hAnsi="黑体" w:eastAsia="黑体" w:cs="黑体"/>
          <w:lang w:val="en-US" w:eastAsia="zh-CN"/>
        </w:rPr>
      </w:pPr>
      <w:bookmarkStart w:id="14" w:name="_Toc16092"/>
      <w:bookmarkStart w:id="15" w:name="_Toc29994"/>
      <w:bookmarkStart w:id="16" w:name="_五、蒸汽锅炉简介及特点"/>
      <w:r>
        <w:rPr>
          <w:rFonts w:hint="eastAsia" w:ascii="黑体" w:hAnsi="黑体" w:eastAsia="黑体" w:cs="黑体"/>
          <w:lang w:val="en-US" w:eastAsia="zh-CN"/>
        </w:rPr>
        <w:t>五、蒸汽锅炉简介及特点</w:t>
      </w:r>
      <w:bookmarkEnd w:id="14"/>
      <w:bookmarkEnd w:id="15"/>
    </w:p>
    <w:bookmarkEnd w:id="16"/>
    <w:p>
      <w:pPr>
        <w:pStyle w:val="5"/>
        <w:bidi w:val="0"/>
      </w:pPr>
      <w:bookmarkStart w:id="17" w:name="_Toc10708"/>
      <w:bookmarkStart w:id="18" w:name="_Toc16772"/>
      <w:bookmarkStart w:id="19" w:name="_1、系统概述及范围"/>
      <w:r>
        <w:rPr>
          <w:rFonts w:hint="eastAsia"/>
          <w:lang w:val="en-US" w:eastAsia="zh-CN"/>
        </w:rPr>
        <w:t>1</w:t>
      </w:r>
      <w:r>
        <w:rPr>
          <w:rFonts w:hint="eastAsia"/>
        </w:rPr>
        <w:t>、系统概述及范围</w:t>
      </w:r>
      <w:bookmarkEnd w:id="17"/>
      <w:bookmarkEnd w:id="18"/>
    </w:p>
    <w:bookmarkEnd w:id="19"/>
    <w:p>
      <w:pPr>
        <w:keepNext w:val="0"/>
        <w:keepLines w:val="0"/>
        <w:pageBreakBefore w:val="0"/>
        <w:wordWrap/>
        <w:overflowPunct/>
        <w:topLinePunct w:val="0"/>
        <w:autoSpaceDE/>
        <w:autoSpaceDN/>
        <w:bidi w:val="0"/>
        <w:adjustRightInd/>
        <w:spacing w:line="440" w:lineRule="exact"/>
        <w:ind w:firstLine="480" w:firstLineChars="200"/>
        <w:rPr>
          <w:sz w:val="24"/>
          <w:szCs w:val="24"/>
        </w:rPr>
      </w:pPr>
      <w:r>
        <w:rPr>
          <w:rFonts w:hint="eastAsia" w:ascii="宋体" w:hAnsi="宋体"/>
          <w:sz w:val="24"/>
          <w:szCs w:val="24"/>
        </w:rPr>
        <w:t>为了确保锅炉运行的安全和劳动人民生命财产安全，锅炉的设计、制造、安装、改造、维修、使用、检验检测等都必须严格按照TSG G0001-2012《锅炉安全技术监察规程》、GB/T16508.1～16508.8-2013《锅壳锅炉》、TSG G0002-2010《锅炉节能技术监督管理规程》</w:t>
      </w:r>
      <w:r>
        <w:rPr>
          <w:rFonts w:hint="eastAsia"/>
          <w:sz w:val="24"/>
          <w:szCs w:val="24"/>
        </w:rPr>
        <w:t>的要求执行。</w:t>
      </w:r>
    </w:p>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sz w:val="24"/>
          <w:szCs w:val="24"/>
        </w:rPr>
        <w:t>安装锅炉的单位，应具有相应级别锅炉安装许可证，并在安装锅炉前到当地市场监督管理局锅炉安全监察机构办理安装告知手续，方可按照锅炉房的设计图纸进行安装施工，并在施工过程中接受当地市场监督管理局的监检。锅炉安装验收合格后，锅炉使用单位应按照《锅炉使用登记办法》办理登记手续，未办理登记手续的锅炉，不得投入使用。</w:t>
      </w:r>
    </w:p>
    <w:p>
      <w:pPr>
        <w:pStyle w:val="5"/>
        <w:bidi w:val="0"/>
      </w:pPr>
      <w:bookmarkStart w:id="20" w:name="_Toc28871"/>
      <w:bookmarkStart w:id="21" w:name="_Toc3123"/>
      <w:bookmarkStart w:id="22" w:name="_2、结构简介"/>
      <w:r>
        <w:rPr>
          <w:rFonts w:hint="eastAsia"/>
          <w:lang w:val="en-US" w:eastAsia="zh-CN"/>
        </w:rPr>
        <w:t>2</w:t>
      </w:r>
      <w:r>
        <w:rPr>
          <w:rFonts w:hint="eastAsia"/>
        </w:rPr>
        <w:t>、结构简介</w:t>
      </w:r>
      <w:bookmarkEnd w:id="20"/>
      <w:bookmarkEnd w:id="21"/>
    </w:p>
    <w:bookmarkEnd w:id="22"/>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WNS型燃油气蒸汽锅炉采用</w:t>
      </w:r>
      <w:r>
        <w:rPr>
          <w:rFonts w:hint="eastAsia"/>
          <w:sz w:val="24"/>
        </w:rPr>
        <w:t>卧式内燃三回程</w:t>
      </w:r>
      <w:r>
        <w:rPr>
          <w:rFonts w:hint="eastAsia" w:ascii="宋体" w:hAnsi="宋体"/>
          <w:sz w:val="24"/>
          <w:szCs w:val="24"/>
        </w:rPr>
        <w:t>结构形式，燃烧方式采用微正压室燃。锅炉本体由锅筒、波纹—平直组合炉胆、回燃室、和螺纹烟管组成。燃料在燃烧器内与空气混合后被电子点火棒点燃，喷入炉胆中燃烧，高温烟气由回燃室进入对流烟管，经出烟口进入节能器，达到排烟温度要求，最后由烟囱排入大气。</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结构特点：</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(1)燃烧器采用位于前部布置的三回程结构，火焰在炉膛内微正压燃烧，强化了传热，从而减少了对流受热面积，烟气流动阻力小，运行电耗低，可节约运行费用。</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(2)锅炉采用离心玻璃棉作为保温材料，其保温性能好，重量轻，散热损失少。</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(3)整个锅炉系统安全可靠，给水直接进入锅炉进水管，装有安全阀及压力控制器，使锅炉始终出在安全高效的运行状态之中。</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(4)环保效果显著：烟尘排放浓度≤50mg/Nm3.格林曼黑度为I级，噪音≤60分贝。</w:t>
      </w:r>
    </w:p>
    <w:p>
      <w:pPr>
        <w:pStyle w:val="24"/>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(5)烟气节能器采用圆形常压节能冷凝器，常压使用安全可靠，节能器与软水箱相连，中间有热水循环泵不间断循环，可以降低排烟温度提高锅炉热效率。</w:t>
      </w:r>
    </w:p>
    <w:p>
      <w:pPr>
        <w:pStyle w:val="5"/>
        <w:bidi w:val="0"/>
        <w:rPr>
          <w:rFonts w:hint="eastAsia"/>
        </w:rPr>
      </w:pPr>
      <w:bookmarkStart w:id="23" w:name="_Toc13834"/>
      <w:bookmarkStart w:id="24" w:name="_Toc13346"/>
      <w:bookmarkStart w:id="25" w:name="_3、性能特点"/>
      <w:r>
        <w:rPr>
          <w:rFonts w:hint="eastAsia"/>
          <w:lang w:val="en-US" w:eastAsia="zh-CN"/>
        </w:rPr>
        <w:t>3</w:t>
      </w:r>
      <w:r>
        <w:rPr>
          <w:rFonts w:hint="eastAsia"/>
        </w:rPr>
        <w:t>、性能特点</w:t>
      </w:r>
      <w:bookmarkEnd w:id="23"/>
      <w:bookmarkEnd w:id="24"/>
    </w:p>
    <w:bookmarkEnd w:id="25"/>
    <w:p>
      <w:pPr>
        <w:bidi w:val="0"/>
        <w:spacing w:line="360" w:lineRule="auto"/>
        <w:ind w:firstLine="420" w:firstLineChars="0"/>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本锅炉整体出厂，配备的燃烧设备采用进口燃烧器，可实现全自动化控制燃烧。锅炉设有电脑控制柜，控制柜上设有热工参数显示仪、控制按钮；本锅炉具有高低水位报警，和低水位连锁保护功能。本锅炉配备燃烧器应完全符合《锅炉安全技术监察规程》要求。</w:t>
      </w:r>
    </w:p>
    <w:p>
      <w:pPr>
        <w:pStyle w:val="5"/>
        <w:bidi w:val="0"/>
        <w:rPr>
          <w:rFonts w:hint="default"/>
          <w:lang w:val="en-US" w:eastAsia="zh-CN"/>
        </w:rPr>
      </w:pPr>
      <w:bookmarkStart w:id="26" w:name="_Toc7888"/>
      <w:bookmarkStart w:id="27" w:name="_4、设计燃料要求："/>
      <w:r>
        <w:rPr>
          <w:rFonts w:hint="eastAsia"/>
          <w:lang w:val="en-US" w:eastAsia="zh-CN"/>
        </w:rPr>
        <w:t>4</w:t>
      </w:r>
      <w:r>
        <w:rPr>
          <w:rFonts w:hint="default"/>
          <w:lang w:val="en-US" w:eastAsia="zh-CN"/>
        </w:rPr>
        <w:t>、设计燃料要求：</w:t>
      </w:r>
      <w:bookmarkEnd w:id="26"/>
    </w:p>
    <w:bookmarkEnd w:id="27"/>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1.液体燃料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0#轻柴油成分</w:t>
      </w:r>
    </w:p>
    <w:tbl>
      <w:tblPr>
        <w:tblStyle w:val="11"/>
        <w:tblW w:w="9416"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114"/>
        <w:gridCol w:w="1114"/>
        <w:gridCol w:w="968"/>
        <w:gridCol w:w="967"/>
        <w:gridCol w:w="1162"/>
        <w:gridCol w:w="1160"/>
        <w:gridCol w:w="1162"/>
        <w:gridCol w:w="1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Car</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Har</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Oar</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Sar</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Aar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Var</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85.55</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13.49</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0.66</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0.04</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0.25</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0.01</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42916.75</w:t>
            </w:r>
          </w:p>
        </w:tc>
      </w:tr>
    </w:tbl>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2．气体燃料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天然气成分：</w:t>
      </w:r>
    </w:p>
    <w:tbl>
      <w:tblPr>
        <w:tblStyle w:val="11"/>
        <w:tblW w:w="9547" w:type="dxa"/>
        <w:tblInd w:w="3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346"/>
        <w:gridCol w:w="1346"/>
        <w:gridCol w:w="1346"/>
        <w:gridCol w:w="1346"/>
        <w:gridCol w:w="1346"/>
        <w:gridCol w:w="1096"/>
        <w:gridCol w:w="1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CH4</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CmHn</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H2</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CO</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N2</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(kJ/Nm3)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96.83</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0.908</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0.105</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ind w:firstLine="480" w:firstLineChars="200"/>
              <w:jc w:val="center"/>
              <w:rPr>
                <w:rFonts w:hint="default" w:ascii="宋体" w:hAnsi="宋体"/>
                <w:sz w:val="24"/>
                <w:szCs w:val="24"/>
              </w:rPr>
            </w:pPr>
            <w:r>
              <w:rPr>
                <w:rFonts w:hint="default" w:ascii="宋体" w:hAnsi="宋体"/>
                <w:sz w:val="24"/>
                <w:szCs w:val="24"/>
                <w:lang w:val="en-US" w:eastAsia="zh-CN"/>
              </w:rPr>
              <w:t>1.85</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35438</w:t>
            </w:r>
          </w:p>
        </w:tc>
      </w:tr>
    </w:tbl>
    <w:p>
      <w:pPr>
        <w:pStyle w:val="5"/>
        <w:bidi w:val="0"/>
        <w:rPr>
          <w:rFonts w:hint="eastAsia"/>
        </w:rPr>
      </w:pPr>
      <w:bookmarkStart w:id="28" w:name="_Toc2051"/>
      <w:bookmarkStart w:id="29" w:name="_5、自动控制安全保护"/>
      <w:r>
        <w:rPr>
          <w:rFonts w:hint="eastAsia"/>
          <w:lang w:val="en-US" w:eastAsia="zh-CN"/>
        </w:rPr>
        <w:t>5、</w:t>
      </w:r>
      <w:r>
        <w:rPr>
          <w:rFonts w:hint="eastAsia"/>
        </w:rPr>
        <w:t>自动控制安全保护</w:t>
      </w:r>
      <w:bookmarkEnd w:id="28"/>
    </w:p>
    <w:bookmarkEnd w:id="29"/>
    <w:p>
      <w:pPr>
        <w:spacing w:line="360" w:lineRule="auto"/>
        <w:ind w:left="-283" w:leftChars="-135" w:firstLine="381" w:firstLineChars="159"/>
        <w:rPr>
          <w:rFonts w:hint="eastAsia" w:ascii="新宋体" w:hAnsi="新宋体" w:eastAsia="新宋体" w:cs="新宋体"/>
          <w:sz w:val="24"/>
          <w:szCs w:val="24"/>
        </w:rPr>
      </w:pPr>
      <w:r>
        <w:rPr>
          <w:rFonts w:hint="eastAsia" w:ascii="宋体" w:hAnsi="宋体"/>
          <w:sz w:val="24"/>
          <w:szCs w:val="24"/>
        </w:rPr>
        <w:t>该锅炉具有高、低水位报警和低水位连锁保护功能；采用</w:t>
      </w:r>
      <w:r>
        <w:rPr>
          <w:rFonts w:hint="eastAsia" w:ascii="新宋体" w:hAnsi="新宋体" w:eastAsia="新宋体" w:cs="新宋体"/>
          <w:sz w:val="24"/>
          <w:szCs w:val="24"/>
        </w:rPr>
        <w:t>技术性能良好的全自动燃烧器作为主要燃烧设备，该燃烧器的燃烧程序由较先进的燃烧程序控制器控制，能实现锅炉正常燃烧所必需的各种功能，能在正常状态、事故状态及非常情况下，自动实施保护性停炉，配以相应的水位控制器、压力调节器，实现高低水位指示，超压指示、调节，保证水位在正常范围内波动，蒸汽压力在允许压力波动范围内，在水位极低，超压时实现保护性停止指示。</w:t>
      </w:r>
    </w:p>
    <w:p>
      <w:pPr>
        <w:pStyle w:val="5"/>
        <w:bidi w:val="0"/>
        <w:rPr>
          <w:rFonts w:hint="eastAsia"/>
        </w:rPr>
      </w:pPr>
      <w:bookmarkStart w:id="30" w:name="_Toc7849"/>
      <w:bookmarkStart w:id="31" w:name="_6、自动保护装置"/>
      <w:r>
        <w:rPr>
          <w:rFonts w:hint="eastAsia"/>
          <w:lang w:val="en-US" w:eastAsia="zh-CN"/>
        </w:rPr>
        <w:t>6、</w:t>
      </w:r>
      <w:r>
        <w:rPr>
          <w:rFonts w:hint="eastAsia"/>
        </w:rPr>
        <w:t>自动保护装置</w:t>
      </w:r>
      <w:bookmarkEnd w:id="30"/>
    </w:p>
    <w:bookmarkEnd w:id="31"/>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1、漏电保护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当检测到泄漏电流超过设定值后，自动切断锅炉总电源。</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2、缺水保护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当锅炉内水位低于锅炉要求的低水位时，自动停止加热，并报警。</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3、失电保护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当电源突然中断，再次送电时，控制系统全部回到自动工作状态。</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4、超压保护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当压力超过额定压力而继续加热时，超压指示灯亮，同时切断控制系统总电源。</w:t>
      </w:r>
    </w:p>
    <w:p>
      <w:pPr>
        <w:pStyle w:val="5"/>
        <w:bidi w:val="0"/>
        <w:rPr>
          <w:rFonts w:hint="eastAsia"/>
        </w:rPr>
      </w:pPr>
      <w:bookmarkStart w:id="32" w:name="_Toc14886"/>
      <w:bookmarkStart w:id="33" w:name="_7、主要设计依据"/>
      <w:r>
        <w:rPr>
          <w:rFonts w:hint="eastAsia"/>
          <w:lang w:val="en-US" w:eastAsia="zh-CN"/>
        </w:rPr>
        <w:t>7</w:t>
      </w:r>
      <w:r>
        <w:rPr>
          <w:rFonts w:hint="eastAsia"/>
        </w:rPr>
        <w:t>、主要设计依据</w:t>
      </w:r>
      <w:bookmarkEnd w:id="32"/>
    </w:p>
    <w:bookmarkEnd w:id="33"/>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⑴TSG G0001-2012《锅炉安全技术监察规程》；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⑵GB/T16508.1～16508.8-2013《锅壳锅炉》；</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⑶NB/T47034-2013《工业锅炉技术条件》；</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⑷GB50273-2009《锅炉安装工程施工及验收规范》；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⑸GB/T1576-2018《工业锅炉水质》；</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⑹GB13271-2014《锅炉大气污染物排放标准》；</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⑺TSG G0002-2010《锅炉节能技术监督管理规程》；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⑻TSG G0003-2010《工业锅炉能效测试与评价规则》；</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⑼GB50211-2014《工业炉砌筑工程施工与验收规范》；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⑽《锅炉机组热力计算标准方法》（73版）；</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⑾NB/T47055-2017《锅炉涂装和包装通用技术条件》等。</w:t>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2"/>
        <w:tblpPr w:leftFromText="180" w:rightFromText="180" w:vertAnchor="text" w:horzAnchor="margin" w:tblpXSpec="center" w:tblpY="793"/>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pStyle w:val="4"/>
        <w:bidi w:val="0"/>
        <w:rPr>
          <w:rFonts w:hint="eastAsia" w:ascii="黑体" w:hAnsi="黑体" w:eastAsia="黑体" w:cs="黑体"/>
          <w:lang w:val="en-US" w:eastAsia="zh-CN"/>
        </w:rPr>
        <w:sectPr>
          <w:footerReference r:id="rId7" w:type="default"/>
          <w:pgSz w:w="11906" w:h="16838"/>
          <w:pgMar w:top="1440" w:right="1080" w:bottom="1440" w:left="1080" w:header="851" w:footer="283" w:gutter="0"/>
          <w:pgNumType w:fmt="decimal"/>
          <w:cols w:space="425" w:num="1"/>
          <w:docGrid w:type="lines" w:linePitch="312" w:charSpace="0"/>
        </w:sectPr>
      </w:pPr>
      <w:bookmarkStart w:id="34" w:name="_Toc16382"/>
      <w:bookmarkStart w:id="35" w:name="_Toc1742"/>
      <w:bookmarkStart w:id="36" w:name="_六、客户来访"/>
      <w:r>
        <w:rPr>
          <w:rFonts w:hint="eastAsia" w:ascii="黑体" w:hAnsi="黑体" w:eastAsia="黑体" w:cs="黑体"/>
          <w:lang w:val="en-US" w:eastAsia="zh-CN"/>
        </w:rPr>
        <w:t>六、客户来访</w:t>
      </w:r>
      <w:bookmarkEnd w:id="34"/>
      <w:bookmarkEnd w:id="35"/>
    </w:p>
    <w:bookmarkEnd w:id="36"/>
    <w:p>
      <w:pPr>
        <w:pStyle w:val="4"/>
        <w:bidi w:val="0"/>
        <w:rPr>
          <w:rFonts w:hint="eastAsia" w:ascii="黑体" w:hAnsi="黑体" w:eastAsia="黑体" w:cs="黑体"/>
        </w:rPr>
      </w:pPr>
      <w:bookmarkStart w:id="37" w:name="_Toc19245"/>
      <w:bookmarkStart w:id="38" w:name="_Toc24433"/>
      <w:bookmarkStart w:id="39" w:name="_七、设备支持"/>
      <w:r>
        <w:rPr>
          <w:rFonts w:hint="eastAsia" w:ascii="黑体" w:hAnsi="黑体" w:eastAsia="黑体" w:cs="黑体"/>
        </w:rPr>
        <w:t>七、设备支持</w:t>
      </w:r>
      <w:bookmarkEnd w:id="37"/>
      <w:bookmarkEnd w:id="38"/>
    </w:p>
    <w:bookmarkEnd w:id="39"/>
    <w:tbl>
      <w:tblPr>
        <w:tblStyle w:val="12"/>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4"/>
        <w:bidi w:val="0"/>
        <w:rPr>
          <w:rFonts w:hint="eastAsia" w:ascii="黑体" w:hAnsi="黑体" w:eastAsia="黑体" w:cs="黑体"/>
        </w:rPr>
      </w:pPr>
      <w:bookmarkStart w:id="40" w:name="_Toc20335"/>
      <w:bookmarkStart w:id="41" w:name="_Toc10238"/>
      <w:bookmarkStart w:id="42" w:name="_八、安全、质量保证措施"/>
      <w:r>
        <w:rPr>
          <w:rFonts w:hint="eastAsia" w:ascii="黑体" w:hAnsi="黑体" w:eastAsia="黑体" w:cs="黑体"/>
        </w:rPr>
        <w:t>八、安全、质量保证措施</w:t>
      </w:r>
      <w:bookmarkEnd w:id="40"/>
      <w:bookmarkEnd w:id="41"/>
    </w:p>
    <w:bookmarkEnd w:id="42"/>
    <w:p>
      <w:pPr>
        <w:pStyle w:val="5"/>
        <w:bidi w:val="0"/>
      </w:pPr>
      <w:bookmarkStart w:id="43" w:name="_Toc22766"/>
      <w:bookmarkStart w:id="44" w:name="_Toc19102"/>
      <w:bookmarkStart w:id="45" w:name="_1、安全保证措施"/>
      <w:r>
        <w:rPr>
          <w:rFonts w:hint="eastAsia"/>
        </w:rPr>
        <w:t>1、安全保证措施</w:t>
      </w:r>
      <w:bookmarkEnd w:id="43"/>
      <w:bookmarkEnd w:id="44"/>
    </w:p>
    <w:bookmarkEnd w:id="45"/>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5"/>
        <w:bidi w:val="0"/>
      </w:pPr>
      <w:bookmarkStart w:id="46" w:name="_Toc5385"/>
      <w:bookmarkStart w:id="47" w:name="_Toc24681"/>
      <w:bookmarkStart w:id="48" w:name="_2、质量保证措施"/>
      <w:r>
        <w:rPr>
          <w:rFonts w:hint="eastAsia"/>
        </w:rPr>
        <w:t>2、质量保证措施</w:t>
      </w:r>
      <w:bookmarkEnd w:id="46"/>
      <w:bookmarkEnd w:id="47"/>
    </w:p>
    <w:bookmarkEnd w:id="48"/>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4"/>
        <w:bidi w:val="0"/>
        <w:rPr>
          <w:rFonts w:hint="eastAsia" w:ascii="黑体" w:hAnsi="黑体" w:eastAsia="黑体" w:cs="黑体"/>
        </w:rPr>
      </w:pPr>
      <w:bookmarkStart w:id="49" w:name="_Toc27029"/>
      <w:bookmarkStart w:id="50" w:name="_Toc27077"/>
      <w:bookmarkStart w:id="51" w:name="_九、售后服务承诺"/>
      <w:r>
        <w:rPr>
          <w:rFonts w:hint="eastAsia" w:ascii="黑体" w:hAnsi="黑体" w:eastAsia="黑体" w:cs="黑体"/>
        </w:rPr>
        <w:t>九、售后服务承诺</w:t>
      </w:r>
      <w:bookmarkEnd w:id="49"/>
      <w:bookmarkEnd w:id="50"/>
    </w:p>
    <w:bookmarkEnd w:id="51"/>
    <w:p>
      <w:pPr>
        <w:pStyle w:val="5"/>
        <w:bidi w:val="0"/>
      </w:pPr>
      <w:bookmarkStart w:id="52" w:name="_Toc22905"/>
      <w:bookmarkStart w:id="53" w:name="_Toc25148"/>
      <w:bookmarkStart w:id="54" w:name="_1、服务体系"/>
      <w:r>
        <w:rPr>
          <w:rFonts w:hint="eastAsia"/>
        </w:rPr>
        <w:t>1、服务体系</w:t>
      </w:r>
      <w:bookmarkEnd w:id="52"/>
      <w:bookmarkEnd w:id="53"/>
    </w:p>
    <w:bookmarkEnd w:id="54"/>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5"/>
        <w:bidi w:val="0"/>
      </w:pPr>
      <w:bookmarkStart w:id="55" w:name="_Toc26214"/>
      <w:bookmarkStart w:id="56" w:name="_Toc8038"/>
      <w:bookmarkStart w:id="57" w:name="_2、售前服务"/>
      <w:r>
        <w:rPr>
          <w:rFonts w:hint="eastAsia"/>
        </w:rPr>
        <w:t>2、售前服务</w:t>
      </w:r>
      <w:bookmarkEnd w:id="55"/>
      <w:bookmarkEnd w:id="56"/>
      <w:r>
        <w:rPr>
          <w:rFonts w:hint="eastAsia"/>
        </w:rPr>
        <w:t xml:space="preserve">  </w:t>
      </w:r>
    </w:p>
    <w:bookmarkEnd w:id="57"/>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5"/>
        <w:bidi w:val="0"/>
        <w:rPr>
          <w:rFonts w:hint="eastAsia"/>
        </w:rPr>
      </w:pPr>
      <w:bookmarkStart w:id="58" w:name="_Toc1965"/>
      <w:bookmarkStart w:id="59" w:name="_Toc31300"/>
      <w:bookmarkStart w:id="60" w:name="_3、售后服务"/>
      <w:r>
        <w:rPr>
          <w:rFonts w:hint="eastAsia"/>
        </w:rPr>
        <w:t>3、售后服务</w:t>
      </w:r>
      <w:bookmarkEnd w:id="58"/>
      <w:bookmarkEnd w:id="59"/>
    </w:p>
    <w:bookmarkEnd w:id="60"/>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5"/>
        <w:bidi w:val="0"/>
        <w:rPr>
          <w:rFonts w:hint="eastAsia"/>
        </w:rPr>
      </w:pPr>
      <w:bookmarkStart w:id="61" w:name="_Toc30005"/>
      <w:bookmarkStart w:id="62" w:name="_Toc23918"/>
      <w:bookmarkStart w:id="63" w:name="_4、规范化的服务标准"/>
      <w:r>
        <w:rPr>
          <w:rFonts w:hint="eastAsia"/>
        </w:rPr>
        <w:t>4、规范化的服务标准</w:t>
      </w:r>
      <w:bookmarkEnd w:id="61"/>
      <w:bookmarkEnd w:id="62"/>
    </w:p>
    <w:bookmarkEnd w:id="63"/>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5"/>
        <w:bidi w:val="0"/>
        <w:rPr>
          <w:rFonts w:hint="eastAsia"/>
        </w:rPr>
      </w:pPr>
      <w:bookmarkStart w:id="64" w:name="_Toc11155"/>
      <w:bookmarkStart w:id="65" w:name="_Toc26737"/>
      <w:bookmarkStart w:id="66" w:name="_5、星级服务1、2、3、4模式"/>
      <w:r>
        <w:rPr>
          <w:rFonts w:hint="eastAsia"/>
        </w:rPr>
        <w:t>5、星级服务1、2、3、4模式</w:t>
      </w:r>
      <w:bookmarkEnd w:id="64"/>
      <w:bookmarkEnd w:id="65"/>
    </w:p>
    <w:bookmarkEnd w:id="66"/>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5"/>
        <w:bidi w:val="0"/>
        <w:rPr>
          <w:rFonts w:hint="eastAsia"/>
        </w:rPr>
      </w:pPr>
      <w:bookmarkStart w:id="67" w:name="_Toc3701"/>
      <w:bookmarkStart w:id="68" w:name="_Toc7786"/>
      <w:bookmarkStart w:id="69" w:name="_6、技术服务与联络"/>
      <w:r>
        <w:rPr>
          <w:rFonts w:hint="eastAsia"/>
        </w:rPr>
        <w:t>6、技术服务与联络</w:t>
      </w:r>
      <w:bookmarkEnd w:id="67"/>
      <w:bookmarkEnd w:id="68"/>
    </w:p>
    <w:bookmarkEnd w:id="69"/>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5"/>
        <w:bidi w:val="0"/>
        <w:rPr>
          <w:rFonts w:hint="eastAsia"/>
        </w:rPr>
      </w:pPr>
      <w:bookmarkStart w:id="70" w:name="_Toc17331"/>
      <w:bookmarkStart w:id="71" w:name="_Toc8578"/>
      <w:bookmarkStart w:id="72" w:name="_7、组织保证"/>
      <w:r>
        <w:rPr>
          <w:rFonts w:hint="eastAsia"/>
        </w:rPr>
        <w:t>7、组织保证</w:t>
      </w:r>
      <w:bookmarkEnd w:id="70"/>
      <w:bookmarkEnd w:id="71"/>
    </w:p>
    <w:bookmarkEnd w:id="72"/>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4"/>
        <w:bidi w:val="0"/>
        <w:rPr>
          <w:rFonts w:hint="eastAsia" w:ascii="黑体" w:hAnsi="黑体" w:eastAsia="黑体" w:cs="黑体"/>
        </w:rPr>
      </w:pPr>
      <w:bookmarkStart w:id="73" w:name="_Toc27408"/>
      <w:bookmarkStart w:id="74" w:name="_Toc31432"/>
      <w:bookmarkStart w:id="75" w:name="_十、厂区环境"/>
      <w:r>
        <w:rPr>
          <w:rFonts w:hint="eastAsia" w:ascii="黑体" w:hAnsi="黑体" w:eastAsia="黑体" w:cs="黑体"/>
        </w:rPr>
        <w:t>十、厂区环境</w:t>
      </w:r>
      <w:bookmarkEnd w:id="73"/>
      <w:bookmarkEnd w:id="74"/>
    </w:p>
    <w:bookmarkEnd w:id="75"/>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Pr>
        <w:pStyle w:val="4"/>
        <w:bidi w:val="0"/>
        <w:rPr>
          <w:rFonts w:hint="eastAsia" w:ascii="黑体" w:hAnsi="黑体" w:eastAsia="黑体" w:cs="黑体"/>
        </w:rPr>
      </w:pPr>
    </w:p>
    <w:p>
      <w:pPr>
        <w:pStyle w:val="4"/>
        <w:bidi w:val="0"/>
        <w:rPr>
          <w:rFonts w:hint="eastAsia" w:ascii="黑体" w:hAnsi="黑体" w:eastAsia="黑体" w:cs="黑体"/>
          <w:lang w:val="en-US" w:eastAsia="zh-CN"/>
        </w:rPr>
      </w:pPr>
      <w:bookmarkStart w:id="76" w:name="_Toc9426"/>
      <w:bookmarkStart w:id="77" w:name="_Toc11023"/>
      <w:bookmarkStart w:id="78" w:name="_十一、公司寄语"/>
      <w:r>
        <w:rPr>
          <w:rFonts w:hint="eastAsia" w:ascii="黑体" w:hAnsi="黑体" w:eastAsia="黑体" w:cs="黑体"/>
          <w:lang w:val="en-US" w:eastAsia="zh-CN"/>
        </w:rPr>
        <w:t>十一、公司</w:t>
      </w:r>
      <w:bookmarkEnd w:id="76"/>
      <w:r>
        <w:rPr>
          <w:rFonts w:hint="eastAsia" w:ascii="黑体" w:hAnsi="黑体" w:eastAsia="黑体" w:cs="黑体"/>
          <w:lang w:val="en-US" w:eastAsia="zh-CN"/>
        </w:rPr>
        <w:t>寄语</w:t>
      </w:r>
      <w:bookmarkEnd w:id="77"/>
    </w:p>
    <w:bookmarkEnd w:id="78"/>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5888"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7936"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036770"/>
    <w:rsid w:val="002D13BD"/>
    <w:rsid w:val="00B13186"/>
    <w:rsid w:val="00CF2E42"/>
    <w:rsid w:val="00D50E40"/>
    <w:rsid w:val="00D71FFE"/>
    <w:rsid w:val="015127EE"/>
    <w:rsid w:val="01A06E9D"/>
    <w:rsid w:val="01D34B7C"/>
    <w:rsid w:val="01FC1C86"/>
    <w:rsid w:val="02603449"/>
    <w:rsid w:val="028B5747"/>
    <w:rsid w:val="02AC20AB"/>
    <w:rsid w:val="02BE0A08"/>
    <w:rsid w:val="02EA149B"/>
    <w:rsid w:val="02F02142"/>
    <w:rsid w:val="03162EDD"/>
    <w:rsid w:val="03575F50"/>
    <w:rsid w:val="03C70AD5"/>
    <w:rsid w:val="03EF4C47"/>
    <w:rsid w:val="049C65CB"/>
    <w:rsid w:val="04BB2B23"/>
    <w:rsid w:val="04DF5F2E"/>
    <w:rsid w:val="05341DD6"/>
    <w:rsid w:val="05696E27"/>
    <w:rsid w:val="056B5832"/>
    <w:rsid w:val="05A0746B"/>
    <w:rsid w:val="05A53B6A"/>
    <w:rsid w:val="05E03D0C"/>
    <w:rsid w:val="05FE7BBD"/>
    <w:rsid w:val="06155D3C"/>
    <w:rsid w:val="0619373E"/>
    <w:rsid w:val="063021E4"/>
    <w:rsid w:val="06334530"/>
    <w:rsid w:val="0635691E"/>
    <w:rsid w:val="06635EA2"/>
    <w:rsid w:val="067A5F0E"/>
    <w:rsid w:val="068426BF"/>
    <w:rsid w:val="06B15F12"/>
    <w:rsid w:val="06D522B7"/>
    <w:rsid w:val="070E7A21"/>
    <w:rsid w:val="07A47FD8"/>
    <w:rsid w:val="07BF667B"/>
    <w:rsid w:val="07C531B9"/>
    <w:rsid w:val="07F13FAE"/>
    <w:rsid w:val="08346591"/>
    <w:rsid w:val="08395955"/>
    <w:rsid w:val="08AB0AE0"/>
    <w:rsid w:val="08B9073E"/>
    <w:rsid w:val="08BE6F38"/>
    <w:rsid w:val="08C1596C"/>
    <w:rsid w:val="08EE274B"/>
    <w:rsid w:val="095A42B6"/>
    <w:rsid w:val="0962474B"/>
    <w:rsid w:val="096E2E44"/>
    <w:rsid w:val="098B3F8E"/>
    <w:rsid w:val="09DC01B4"/>
    <w:rsid w:val="0AD43E4B"/>
    <w:rsid w:val="0B7E3EC8"/>
    <w:rsid w:val="0BC65752"/>
    <w:rsid w:val="0BDE6F3F"/>
    <w:rsid w:val="0C1053BE"/>
    <w:rsid w:val="0C894D11"/>
    <w:rsid w:val="0D6D5FF2"/>
    <w:rsid w:val="0DDA5293"/>
    <w:rsid w:val="0DE70BA4"/>
    <w:rsid w:val="0E2B1997"/>
    <w:rsid w:val="0ED85EC5"/>
    <w:rsid w:val="0F836EE2"/>
    <w:rsid w:val="0FA51AAB"/>
    <w:rsid w:val="0FD91EF8"/>
    <w:rsid w:val="1023692B"/>
    <w:rsid w:val="1051013C"/>
    <w:rsid w:val="11245688"/>
    <w:rsid w:val="11A8771C"/>
    <w:rsid w:val="11B916BF"/>
    <w:rsid w:val="120C5D0C"/>
    <w:rsid w:val="12453CA9"/>
    <w:rsid w:val="125735A8"/>
    <w:rsid w:val="12B575DD"/>
    <w:rsid w:val="142E658A"/>
    <w:rsid w:val="146B6E96"/>
    <w:rsid w:val="15126972"/>
    <w:rsid w:val="15776508"/>
    <w:rsid w:val="15B548B1"/>
    <w:rsid w:val="16132CBA"/>
    <w:rsid w:val="169F3EDD"/>
    <w:rsid w:val="16C15291"/>
    <w:rsid w:val="16DA0303"/>
    <w:rsid w:val="17463BEB"/>
    <w:rsid w:val="176F6C9D"/>
    <w:rsid w:val="17A23E6D"/>
    <w:rsid w:val="1800023D"/>
    <w:rsid w:val="182F4CA9"/>
    <w:rsid w:val="18B75FE1"/>
    <w:rsid w:val="18C304F1"/>
    <w:rsid w:val="18FE29CF"/>
    <w:rsid w:val="194128BC"/>
    <w:rsid w:val="19AA0461"/>
    <w:rsid w:val="19BE5CBA"/>
    <w:rsid w:val="19C13A96"/>
    <w:rsid w:val="1A0538E9"/>
    <w:rsid w:val="1A465446"/>
    <w:rsid w:val="1A484CDB"/>
    <w:rsid w:val="1AA55149"/>
    <w:rsid w:val="1AB81AC0"/>
    <w:rsid w:val="1B010C3A"/>
    <w:rsid w:val="1B5D78DD"/>
    <w:rsid w:val="1BD366BC"/>
    <w:rsid w:val="1C87150A"/>
    <w:rsid w:val="1CAA7140"/>
    <w:rsid w:val="1CEB1412"/>
    <w:rsid w:val="1D036806"/>
    <w:rsid w:val="1D373AAF"/>
    <w:rsid w:val="1D815CC7"/>
    <w:rsid w:val="1D8B1CDD"/>
    <w:rsid w:val="1DC66264"/>
    <w:rsid w:val="1ECA499A"/>
    <w:rsid w:val="201C7BDE"/>
    <w:rsid w:val="20234E4B"/>
    <w:rsid w:val="202F346E"/>
    <w:rsid w:val="20BE2A81"/>
    <w:rsid w:val="20D14FB1"/>
    <w:rsid w:val="210027D1"/>
    <w:rsid w:val="211428BF"/>
    <w:rsid w:val="21857FA4"/>
    <w:rsid w:val="21A76AC9"/>
    <w:rsid w:val="220E29EB"/>
    <w:rsid w:val="22110E8E"/>
    <w:rsid w:val="228C5F60"/>
    <w:rsid w:val="22D77F8E"/>
    <w:rsid w:val="22FA0FEE"/>
    <w:rsid w:val="23353491"/>
    <w:rsid w:val="23851031"/>
    <w:rsid w:val="23A3664D"/>
    <w:rsid w:val="240B41F2"/>
    <w:rsid w:val="24E54A43"/>
    <w:rsid w:val="24FF3D57"/>
    <w:rsid w:val="251D5AD1"/>
    <w:rsid w:val="25826736"/>
    <w:rsid w:val="258D56D9"/>
    <w:rsid w:val="25C1100C"/>
    <w:rsid w:val="25ED2B06"/>
    <w:rsid w:val="25F0276F"/>
    <w:rsid w:val="2605432E"/>
    <w:rsid w:val="260B7449"/>
    <w:rsid w:val="26487037"/>
    <w:rsid w:val="26870C67"/>
    <w:rsid w:val="26E32CB2"/>
    <w:rsid w:val="271433BD"/>
    <w:rsid w:val="271A7E79"/>
    <w:rsid w:val="278F7A7D"/>
    <w:rsid w:val="27A720F5"/>
    <w:rsid w:val="27DE3507"/>
    <w:rsid w:val="2835035F"/>
    <w:rsid w:val="28445F24"/>
    <w:rsid w:val="285D7BBC"/>
    <w:rsid w:val="28722A91"/>
    <w:rsid w:val="29273C26"/>
    <w:rsid w:val="295C7C9C"/>
    <w:rsid w:val="298254EA"/>
    <w:rsid w:val="29CF713B"/>
    <w:rsid w:val="29D23193"/>
    <w:rsid w:val="2ACE1AD5"/>
    <w:rsid w:val="2AD510B6"/>
    <w:rsid w:val="2AE12DE3"/>
    <w:rsid w:val="2B555F04"/>
    <w:rsid w:val="2BA8157D"/>
    <w:rsid w:val="2BD870AF"/>
    <w:rsid w:val="2C3F1B7E"/>
    <w:rsid w:val="2C6B125B"/>
    <w:rsid w:val="2C7B3ADA"/>
    <w:rsid w:val="2CAF3E52"/>
    <w:rsid w:val="2CF0000D"/>
    <w:rsid w:val="2DE30510"/>
    <w:rsid w:val="2E073C7C"/>
    <w:rsid w:val="2E4A7271"/>
    <w:rsid w:val="2EFF324B"/>
    <w:rsid w:val="2F1877C3"/>
    <w:rsid w:val="2F1A353B"/>
    <w:rsid w:val="2F5C0536"/>
    <w:rsid w:val="2FD302BA"/>
    <w:rsid w:val="2FEA255A"/>
    <w:rsid w:val="307978A9"/>
    <w:rsid w:val="30CE712E"/>
    <w:rsid w:val="314D7BFB"/>
    <w:rsid w:val="316F4012"/>
    <w:rsid w:val="3203475A"/>
    <w:rsid w:val="329A2668"/>
    <w:rsid w:val="33660F1D"/>
    <w:rsid w:val="33DA419C"/>
    <w:rsid w:val="340018A9"/>
    <w:rsid w:val="344277BC"/>
    <w:rsid w:val="346A286F"/>
    <w:rsid w:val="34932FE8"/>
    <w:rsid w:val="34A007DF"/>
    <w:rsid w:val="35571045"/>
    <w:rsid w:val="35957DBF"/>
    <w:rsid w:val="35A91A40"/>
    <w:rsid w:val="35AF0E81"/>
    <w:rsid w:val="36070CBD"/>
    <w:rsid w:val="36513CE6"/>
    <w:rsid w:val="365E1ABA"/>
    <w:rsid w:val="3699743B"/>
    <w:rsid w:val="36BF30AF"/>
    <w:rsid w:val="36C95F72"/>
    <w:rsid w:val="375A12C0"/>
    <w:rsid w:val="37F34565"/>
    <w:rsid w:val="38303DCF"/>
    <w:rsid w:val="388F7E08"/>
    <w:rsid w:val="389A4589"/>
    <w:rsid w:val="389D0E27"/>
    <w:rsid w:val="390E6D05"/>
    <w:rsid w:val="392733AE"/>
    <w:rsid w:val="39353D74"/>
    <w:rsid w:val="39E84962"/>
    <w:rsid w:val="3A0D261A"/>
    <w:rsid w:val="3A43559A"/>
    <w:rsid w:val="3A7206CF"/>
    <w:rsid w:val="3A836B3C"/>
    <w:rsid w:val="3A8F74D3"/>
    <w:rsid w:val="3A9457C2"/>
    <w:rsid w:val="3AB26081"/>
    <w:rsid w:val="3ABB2076"/>
    <w:rsid w:val="3AD4138A"/>
    <w:rsid w:val="3B985F13"/>
    <w:rsid w:val="3BE249DC"/>
    <w:rsid w:val="3C462230"/>
    <w:rsid w:val="3C571489"/>
    <w:rsid w:val="3C8353AD"/>
    <w:rsid w:val="3CB1295C"/>
    <w:rsid w:val="3CCD6091"/>
    <w:rsid w:val="3D4A76E1"/>
    <w:rsid w:val="3D72084C"/>
    <w:rsid w:val="3D74499B"/>
    <w:rsid w:val="3D81429A"/>
    <w:rsid w:val="3DA43295"/>
    <w:rsid w:val="3DD57CCC"/>
    <w:rsid w:val="3E1B38D6"/>
    <w:rsid w:val="3E2661F2"/>
    <w:rsid w:val="3E9C5D1B"/>
    <w:rsid w:val="3EB76FF8"/>
    <w:rsid w:val="3F281BB1"/>
    <w:rsid w:val="3F6F02F3"/>
    <w:rsid w:val="3FC27987"/>
    <w:rsid w:val="40646D0C"/>
    <w:rsid w:val="417C4D58"/>
    <w:rsid w:val="418C4F2A"/>
    <w:rsid w:val="41A2189A"/>
    <w:rsid w:val="41B31F30"/>
    <w:rsid w:val="42257078"/>
    <w:rsid w:val="428856B7"/>
    <w:rsid w:val="42D979A6"/>
    <w:rsid w:val="43077C5C"/>
    <w:rsid w:val="43572219"/>
    <w:rsid w:val="43E8647D"/>
    <w:rsid w:val="44091CF5"/>
    <w:rsid w:val="447357CF"/>
    <w:rsid w:val="45243134"/>
    <w:rsid w:val="4541177A"/>
    <w:rsid w:val="45B918A8"/>
    <w:rsid w:val="460D6277"/>
    <w:rsid w:val="464E0242"/>
    <w:rsid w:val="47095F17"/>
    <w:rsid w:val="47C85DD2"/>
    <w:rsid w:val="47CC58C3"/>
    <w:rsid w:val="47D96A2F"/>
    <w:rsid w:val="48537D92"/>
    <w:rsid w:val="48993E7C"/>
    <w:rsid w:val="49044BE8"/>
    <w:rsid w:val="49A1484E"/>
    <w:rsid w:val="4A253048"/>
    <w:rsid w:val="4A865B7B"/>
    <w:rsid w:val="4AA422F4"/>
    <w:rsid w:val="4AEE5B50"/>
    <w:rsid w:val="4BAF1783"/>
    <w:rsid w:val="4C6939FC"/>
    <w:rsid w:val="4C9F4305"/>
    <w:rsid w:val="4CD80866"/>
    <w:rsid w:val="4D2F2CB6"/>
    <w:rsid w:val="4D93478D"/>
    <w:rsid w:val="4DA95138"/>
    <w:rsid w:val="4E130181"/>
    <w:rsid w:val="4E8652E5"/>
    <w:rsid w:val="4E981B13"/>
    <w:rsid w:val="4E9F3BEC"/>
    <w:rsid w:val="4EB86190"/>
    <w:rsid w:val="4EBB4203"/>
    <w:rsid w:val="4EEA01E2"/>
    <w:rsid w:val="4F275AD4"/>
    <w:rsid w:val="4F46222B"/>
    <w:rsid w:val="5012408F"/>
    <w:rsid w:val="502D636D"/>
    <w:rsid w:val="504A49A8"/>
    <w:rsid w:val="50746AF7"/>
    <w:rsid w:val="513F7105"/>
    <w:rsid w:val="51655B3D"/>
    <w:rsid w:val="519D50A4"/>
    <w:rsid w:val="520E5057"/>
    <w:rsid w:val="526130AB"/>
    <w:rsid w:val="527728CF"/>
    <w:rsid w:val="529963E6"/>
    <w:rsid w:val="53A718DD"/>
    <w:rsid w:val="5406215C"/>
    <w:rsid w:val="546E3324"/>
    <w:rsid w:val="549A28A4"/>
    <w:rsid w:val="554051FA"/>
    <w:rsid w:val="55B00902"/>
    <w:rsid w:val="55D07486"/>
    <w:rsid w:val="560A1D98"/>
    <w:rsid w:val="56424959"/>
    <w:rsid w:val="576D624C"/>
    <w:rsid w:val="580C1D0B"/>
    <w:rsid w:val="588C69A8"/>
    <w:rsid w:val="58C20383"/>
    <w:rsid w:val="58EF652E"/>
    <w:rsid w:val="59811D27"/>
    <w:rsid w:val="59851D75"/>
    <w:rsid w:val="59926240"/>
    <w:rsid w:val="5A094FC5"/>
    <w:rsid w:val="5B656BC2"/>
    <w:rsid w:val="5BA447C4"/>
    <w:rsid w:val="5BC8172D"/>
    <w:rsid w:val="5BCE3269"/>
    <w:rsid w:val="5C6953F1"/>
    <w:rsid w:val="5CAC586B"/>
    <w:rsid w:val="5D6A375C"/>
    <w:rsid w:val="5DA86032"/>
    <w:rsid w:val="5DD24E5D"/>
    <w:rsid w:val="5E6259D5"/>
    <w:rsid w:val="5F1E4355"/>
    <w:rsid w:val="5F4140C4"/>
    <w:rsid w:val="5F491581"/>
    <w:rsid w:val="60082DB8"/>
    <w:rsid w:val="602D0A9E"/>
    <w:rsid w:val="60F81E86"/>
    <w:rsid w:val="615838F7"/>
    <w:rsid w:val="6165315A"/>
    <w:rsid w:val="61B85B3A"/>
    <w:rsid w:val="62076EE2"/>
    <w:rsid w:val="62683FE2"/>
    <w:rsid w:val="62737C80"/>
    <w:rsid w:val="6299019D"/>
    <w:rsid w:val="62D505F8"/>
    <w:rsid w:val="636A174F"/>
    <w:rsid w:val="638E0C61"/>
    <w:rsid w:val="639915EF"/>
    <w:rsid w:val="64104931"/>
    <w:rsid w:val="641D24F2"/>
    <w:rsid w:val="643B2AF7"/>
    <w:rsid w:val="6511270F"/>
    <w:rsid w:val="65314D46"/>
    <w:rsid w:val="658B0713"/>
    <w:rsid w:val="65C240C8"/>
    <w:rsid w:val="660E2153"/>
    <w:rsid w:val="66D4519B"/>
    <w:rsid w:val="66D9725C"/>
    <w:rsid w:val="678278F4"/>
    <w:rsid w:val="678D7D4A"/>
    <w:rsid w:val="6804655B"/>
    <w:rsid w:val="683E2DF3"/>
    <w:rsid w:val="68490412"/>
    <w:rsid w:val="68D07B84"/>
    <w:rsid w:val="68F93BE6"/>
    <w:rsid w:val="69024B11"/>
    <w:rsid w:val="69073F53"/>
    <w:rsid w:val="69A426F3"/>
    <w:rsid w:val="6AFB3CEC"/>
    <w:rsid w:val="6AFE7291"/>
    <w:rsid w:val="6BC32FC3"/>
    <w:rsid w:val="6BFD579B"/>
    <w:rsid w:val="6C2B5723"/>
    <w:rsid w:val="6C445178"/>
    <w:rsid w:val="6C7A503E"/>
    <w:rsid w:val="6C991968"/>
    <w:rsid w:val="6CDA6A4D"/>
    <w:rsid w:val="6CDC7AA6"/>
    <w:rsid w:val="6CE1330F"/>
    <w:rsid w:val="6D0668D1"/>
    <w:rsid w:val="6DFB5D0A"/>
    <w:rsid w:val="6E2A44E4"/>
    <w:rsid w:val="6E3C32A1"/>
    <w:rsid w:val="6E4771A1"/>
    <w:rsid w:val="6E492F1A"/>
    <w:rsid w:val="6EA575EC"/>
    <w:rsid w:val="6EA63EC8"/>
    <w:rsid w:val="6EB50234"/>
    <w:rsid w:val="6EF8049C"/>
    <w:rsid w:val="6F780FE6"/>
    <w:rsid w:val="6FA40F23"/>
    <w:rsid w:val="6FB10D76"/>
    <w:rsid w:val="6FC16882"/>
    <w:rsid w:val="6FF712B4"/>
    <w:rsid w:val="709E229C"/>
    <w:rsid w:val="70A742FB"/>
    <w:rsid w:val="70E1568B"/>
    <w:rsid w:val="71864D87"/>
    <w:rsid w:val="7199181E"/>
    <w:rsid w:val="71B24BD6"/>
    <w:rsid w:val="71C869D7"/>
    <w:rsid w:val="71F9687A"/>
    <w:rsid w:val="72363DD1"/>
    <w:rsid w:val="72DE3255"/>
    <w:rsid w:val="72E36E6C"/>
    <w:rsid w:val="73154050"/>
    <w:rsid w:val="73637E23"/>
    <w:rsid w:val="73D4764E"/>
    <w:rsid w:val="7440146B"/>
    <w:rsid w:val="74614EB7"/>
    <w:rsid w:val="76545BF3"/>
    <w:rsid w:val="765A0DE3"/>
    <w:rsid w:val="766A7ED1"/>
    <w:rsid w:val="769B452E"/>
    <w:rsid w:val="772067E2"/>
    <w:rsid w:val="77F51A1C"/>
    <w:rsid w:val="781A67A6"/>
    <w:rsid w:val="785422B4"/>
    <w:rsid w:val="78B3729F"/>
    <w:rsid w:val="78DE0702"/>
    <w:rsid w:val="79744524"/>
    <w:rsid w:val="797B41A3"/>
    <w:rsid w:val="79927E6B"/>
    <w:rsid w:val="79A22173"/>
    <w:rsid w:val="79D0629D"/>
    <w:rsid w:val="7A1A1292"/>
    <w:rsid w:val="7A434CC1"/>
    <w:rsid w:val="7A460876"/>
    <w:rsid w:val="7A475776"/>
    <w:rsid w:val="7AB12572"/>
    <w:rsid w:val="7AE53DC4"/>
    <w:rsid w:val="7CDD764F"/>
    <w:rsid w:val="7CE21BD1"/>
    <w:rsid w:val="7CF8248D"/>
    <w:rsid w:val="7D1961AD"/>
    <w:rsid w:val="7D224F9C"/>
    <w:rsid w:val="7D3042CA"/>
    <w:rsid w:val="7D836F3D"/>
    <w:rsid w:val="7DA87AED"/>
    <w:rsid w:val="7DB06B11"/>
    <w:rsid w:val="7E0331EF"/>
    <w:rsid w:val="7E0D3F64"/>
    <w:rsid w:val="7E1D251F"/>
    <w:rsid w:val="7E9910C5"/>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unhideWhenUsed/>
    <w:qFormat/>
    <w:uiPriority w:val="0"/>
    <w:pPr>
      <w:keepNext/>
      <w:keepLines/>
      <w:spacing w:line="413" w:lineRule="auto"/>
      <w:outlineLvl w:val="2"/>
    </w:pPr>
    <w:rPr>
      <w:b/>
      <w:sz w:val="32"/>
    </w:rPr>
  </w:style>
  <w:style w:type="paragraph" w:styleId="5">
    <w:name w:val="heading 4"/>
    <w:basedOn w:val="1"/>
    <w:next w:val="1"/>
    <w:autoRedefine/>
    <w:unhideWhenUsed/>
    <w:qFormat/>
    <w:uiPriority w:val="0"/>
    <w:pPr>
      <w:keepNext/>
      <w:keepLines/>
      <w:ind w:left="200" w:leftChars="200"/>
      <w:outlineLvl w:val="3"/>
    </w:pPr>
    <w:rPr>
      <w:rFonts w:ascii="Arial" w:hAnsi="Arial" w:eastAsia="黑体"/>
      <w:b/>
      <w:sz w:val="28"/>
      <w:szCs w:val="22"/>
    </w:rPr>
  </w:style>
  <w:style w:type="character" w:default="1" w:styleId="13">
    <w:name w:val="Default Paragraph Font"/>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autoRedefine/>
    <w:qFormat/>
    <w:uiPriority w:val="0"/>
    <w:pPr>
      <w:ind w:left="420" w:leftChars="200"/>
    </w:pPr>
  </w:style>
  <w:style w:type="paragraph" w:styleId="10">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5551</Words>
  <Characters>6615</Characters>
  <Lines>1</Lines>
  <Paragraphs>1</Paragraphs>
  <TotalTime>0</TotalTime>
  <ScaleCrop>false</ScaleCrop>
  <LinksUpToDate>false</LinksUpToDate>
  <CharactersWithSpaces>6779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2024-05-21T09:31:53Z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ED44D1ECFE2B4F9C8C11AC54B014A3F5_13</vt:lpwstr>
  </property>
</Properties>
</file>